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rFonts w:ascii="Arial" w:cs="Arial" w:eastAsia="Arial" w:hAnsi="Arial"/>
          <w:b/>
          <w:bCs/>
          <w:color w:val="1B3A6B"/>
          <w:sz w:val="36"/>
          <w:szCs w:val="36"/>
        </w:rPr>
        <w:t xml:space="preserve">PROJECTIONS MRR &amp; STRATÉGIE D'ACQUISITION</w:t>
      </w:r>
    </w:p>
    <w:p>
      <w:pPr>
        <w:spacing w:after="40" w:before="0"/>
        <w:jc w:val="center"/>
      </w:pPr>
      <w:r>
        <w:rPr>
          <w:rFonts w:ascii="Arial" w:cs="Arial" w:eastAsia="Arial" w:hAnsi="Arial"/>
          <w:i/>
          <w:iCs/>
          <w:color w:val="555555"/>
          <w:sz w:val="20"/>
          <w:szCs w:val="20"/>
        </w:rPr>
        <w:t xml:space="preserve">Look4Immo.pro  ·  Portail SaaS Immobilier Professionnel B2B avec IA  ·  Mars – Août 2026</w:t>
      </w:r>
    </w:p>
    <w:p>
      <w:pPr>
        <w:spacing w:after="200" w:before="0"/>
        <w:jc w:val="center"/>
      </w:pPr>
      <w:r>
        <w:rPr>
          <w:rFonts w:ascii="Arial" w:cs="Arial" w:eastAsia="Arial" w:hAnsi="Arial"/>
          <w:i/>
          <w:iCs/>
          <w:color w:val="666666"/>
          <w:sz w:val="17"/>
          <w:szCs w:val="17"/>
        </w:rPr>
        <w:t xml:space="preserve">Données sourcées — Benchmarks sectoriels 2024/2025 — Études de cas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DDDDDD" w:sz="1"/>
              <w:left w:val="single" w:color="DDDDDD" w:sz="1"/>
              <w:bottom w:val="single" w:color="DDDDDD" w:sz="1"/>
              <w:right w:val="single" w:color="DDDDDD" w:sz="1"/>
            </w:tcBorders>
            <w:shd w:fill="EBF3FA" w:val="clear"/>
            <w:tcMar>
              <w:top w:type="dxa" w:w="100"/>
              <w:left w:type="dxa" w:w="140"/>
              <w:bottom w:type="dxa" w:w="100"/>
              <w:right w:type="dxa" w:w="140"/>
            </w:tcMar>
            <w:vAlign w:val="center"/>
          </w:tcPr>
          <w:p>
            <w:pPr>
              <w:spacing w:after="20" w:before="0"/>
              <w:jc w:val="center"/>
            </w:pPr>
            <w:r>
              <w:rPr>
                <w:rFonts w:ascii="Arial" w:cs="Arial" w:eastAsia="Arial" w:hAnsi="Arial"/>
                <w:b/>
                <w:bCs/>
                <w:color w:val="1B3A6B"/>
                <w:sz w:val="32"/>
                <w:szCs w:val="32"/>
              </w:rPr>
              <w:t xml:space="preserve">18 500 €</w:t>
            </w:r>
          </w:p>
          <w:p>
            <w:pPr>
              <w:spacing w:after="0" w:before="0"/>
              <w:jc w:val="center"/>
            </w:pPr>
            <w:r>
              <w:rPr>
                <w:rFonts w:ascii="Arial" w:cs="Arial" w:eastAsia="Arial" w:hAnsi="Arial"/>
                <w:i/>
                <w:iCs/>
                <w:color w:val="1B3A6B"/>
                <w:sz w:val="16"/>
                <w:szCs w:val="16"/>
              </w:rPr>
              <w:t xml:space="preserve">MRR réaliste M6</w:t>
            </w:r>
          </w:p>
        </w:tc>
        <w:tc>
          <w:tcPr>
            <w:tcW w:type="dxa" w:w="1872"/>
            <w:gridSpan w:val="1"/>
            <w:tcBorders>
              <w:top w:val="single" w:color="DDDDDD" w:sz="1"/>
              <w:left w:val="single" w:color="DDDDDD" w:sz="1"/>
              <w:bottom w:val="single" w:color="DDDDDD" w:sz="1"/>
              <w:right w:val="single" w:color="DDDDDD" w:sz="1"/>
            </w:tcBorders>
            <w:shd w:fill="E2EFDA" w:val="clear"/>
            <w:tcMar>
              <w:top w:type="dxa" w:w="100"/>
              <w:left w:type="dxa" w:w="140"/>
              <w:bottom w:type="dxa" w:w="100"/>
              <w:right w:type="dxa" w:w="140"/>
            </w:tcMar>
            <w:vAlign w:val="center"/>
          </w:tcPr>
          <w:p>
            <w:pPr>
              <w:spacing w:after="20" w:before="0"/>
              <w:jc w:val="center"/>
            </w:pPr>
            <w:r>
              <w:rPr>
                <w:rFonts w:ascii="Arial" w:cs="Arial" w:eastAsia="Arial" w:hAnsi="Arial"/>
                <w:b/>
                <w:bCs/>
                <w:color w:val="375623"/>
                <w:sz w:val="32"/>
                <w:szCs w:val="32"/>
              </w:rPr>
              <w:t xml:space="preserve">M4 – M5</w:t>
            </w:r>
          </w:p>
          <w:p>
            <w:pPr>
              <w:spacing w:after="0" w:before="0"/>
              <w:jc w:val="center"/>
            </w:pPr>
            <w:r>
              <w:rPr>
                <w:rFonts w:ascii="Arial" w:cs="Arial" w:eastAsia="Arial" w:hAnsi="Arial"/>
                <w:i/>
                <w:iCs/>
                <w:color w:val="375623"/>
                <w:sz w:val="16"/>
                <w:szCs w:val="16"/>
              </w:rPr>
              <w:t xml:space="preserve">Break-even estimé</w:t>
            </w:r>
          </w:p>
        </w:tc>
        <w:tc>
          <w:tcPr>
            <w:tcW w:type="dxa" w:w="1872"/>
            <w:gridSpan w:val="1"/>
            <w:tcBorders>
              <w:top w:val="single" w:color="DDDDDD" w:sz="1"/>
              <w:left w:val="single" w:color="DDDDDD" w:sz="1"/>
              <w:bottom w:val="single" w:color="DDDDDD" w:sz="1"/>
              <w:right w:val="single" w:color="DDDDDD" w:sz="1"/>
            </w:tcBorders>
            <w:shd w:fill="FFF2CC" w:val="clear"/>
            <w:tcMar>
              <w:top w:type="dxa" w:w="100"/>
              <w:left w:type="dxa" w:w="140"/>
              <w:bottom w:type="dxa" w:w="100"/>
              <w:right w:type="dxa" w:w="140"/>
            </w:tcMar>
            <w:vAlign w:val="center"/>
          </w:tcPr>
          <w:p>
            <w:pPr>
              <w:spacing w:after="20" w:before="0"/>
              <w:jc w:val="center"/>
            </w:pPr>
            <w:r>
              <w:rPr>
                <w:rFonts w:ascii="Arial" w:cs="Arial" w:eastAsia="Arial" w:hAnsi="Arial"/>
                <w:b/>
                <w:bCs/>
                <w:color w:val="7F6000"/>
                <w:sz w:val="32"/>
                <w:szCs w:val="32"/>
              </w:rPr>
              <w:t xml:space="preserve">65 – 110</w:t>
            </w:r>
          </w:p>
          <w:p>
            <w:pPr>
              <w:spacing w:after="0" w:before="0"/>
              <w:jc w:val="center"/>
            </w:pPr>
            <w:r>
              <w:rPr>
                <w:rFonts w:ascii="Arial" w:cs="Arial" w:eastAsia="Arial" w:hAnsi="Arial"/>
                <w:i/>
                <w:iCs/>
                <w:color w:val="7F6000"/>
                <w:sz w:val="16"/>
                <w:szCs w:val="16"/>
              </w:rPr>
              <w:t xml:space="preserve">Agences payantes M6</w:t>
            </w:r>
          </w:p>
        </w:tc>
        <w:tc>
          <w:tcPr>
            <w:tcW w:type="dxa" w:w="1872"/>
            <w:gridSpan w:val="1"/>
            <w:tcBorders>
              <w:top w:val="single" w:color="DDDDDD" w:sz="1"/>
              <w:left w:val="single" w:color="DDDDDD" w:sz="1"/>
              <w:bottom w:val="single" w:color="DDDDDD" w:sz="1"/>
              <w:right w:val="single" w:color="DDDDDD" w:sz="1"/>
            </w:tcBorders>
            <w:shd w:fill="EBF3FA" w:val="clear"/>
            <w:tcMar>
              <w:top w:type="dxa" w:w="100"/>
              <w:left w:type="dxa" w:w="140"/>
              <w:bottom w:type="dxa" w:w="100"/>
              <w:right w:type="dxa" w:w="140"/>
            </w:tcMar>
            <w:vAlign w:val="center"/>
          </w:tcPr>
          <w:p>
            <w:pPr>
              <w:spacing w:after="20" w:before="0"/>
              <w:jc w:val="center"/>
            </w:pPr>
            <w:r>
              <w:rPr>
                <w:rFonts w:ascii="Arial" w:cs="Arial" w:eastAsia="Arial" w:hAnsi="Arial"/>
                <w:b/>
                <w:bCs/>
                <w:color w:val="1B3A6B"/>
                <w:sz w:val="32"/>
                <w:szCs w:val="32"/>
              </w:rPr>
              <w:t xml:space="preserve">CAGR 16 %</w:t>
            </w:r>
          </w:p>
          <w:p>
            <w:pPr>
              <w:spacing w:after="0" w:before="0"/>
              <w:jc w:val="center"/>
            </w:pPr>
            <w:r>
              <w:rPr>
                <w:rFonts w:ascii="Arial" w:cs="Arial" w:eastAsia="Arial" w:hAnsi="Arial"/>
                <w:i/>
                <w:iCs/>
                <w:color w:val="1B3A6B"/>
                <w:sz w:val="16"/>
                <w:szCs w:val="16"/>
              </w:rPr>
              <w:t xml:space="preserve">Marché PropTech FR</w:t>
            </w:r>
          </w:p>
        </w:tc>
        <w:tc>
          <w:tcPr>
            <w:tcW w:type="dxa" w:w="1872"/>
            <w:gridSpan w:val="1"/>
            <w:tcBorders>
              <w:top w:val="single" w:color="DDDDDD" w:sz="1"/>
              <w:left w:val="single" w:color="DDDDDD" w:sz="1"/>
              <w:bottom w:val="single" w:color="DDDDDD" w:sz="1"/>
              <w:right w:val="single" w:color="DDDDDD" w:sz="1"/>
            </w:tcBorders>
            <w:shd w:fill="E2EFDA" w:val="clear"/>
            <w:tcMar>
              <w:top w:type="dxa" w:w="100"/>
              <w:left w:type="dxa" w:w="140"/>
              <w:bottom w:type="dxa" w:w="100"/>
              <w:right w:type="dxa" w:w="140"/>
            </w:tcMar>
            <w:vAlign w:val="center"/>
          </w:tcPr>
          <w:p>
            <w:pPr>
              <w:spacing w:after="20" w:before="0"/>
              <w:jc w:val="center"/>
            </w:pPr>
            <w:r>
              <w:rPr>
                <w:rFonts w:ascii="Arial" w:cs="Arial" w:eastAsia="Arial" w:hAnsi="Arial"/>
                <w:b/>
                <w:bCs/>
                <w:color w:val="375623"/>
                <w:sz w:val="32"/>
                <w:szCs w:val="32"/>
              </w:rPr>
              <w:t xml:space="preserve">&lt; 8 %/an</w:t>
            </w:r>
          </w:p>
          <w:p>
            <w:pPr>
              <w:spacing w:after="0" w:before="0"/>
              <w:jc w:val="center"/>
            </w:pPr>
            <w:r>
              <w:rPr>
                <w:rFonts w:ascii="Arial" w:cs="Arial" w:eastAsia="Arial" w:hAnsi="Arial"/>
                <w:i/>
                <w:iCs/>
                <w:color w:val="375623"/>
                <w:sz w:val="16"/>
                <w:szCs w:val="16"/>
              </w:rPr>
              <w:t xml:space="preserve">Churn cible B2B SaaS</w:t>
            </w:r>
          </w:p>
        </w:tc>
      </w:tr>
    </w:tbl>
    <w:p>
      <w:pPr>
        <w:spacing w:after="60" w:before="60"/>
      </w:pPr>
      <w:r>
        <w:t xml:space="preserve"/>
      </w:r>
    </w:p>
    <w:p>
      <w:pPr>
        <w:pStyle w:val="Heading1"/>
        <w:pBdr>
          <w:bottom w:val="single" w:color="2E75B6" w:sz="4" w:space="3"/>
        </w:pBdr>
        <w:spacing w:after="120" w:before="280"/>
      </w:pPr>
      <w:r>
        <w:rPr>
          <w:rFonts w:ascii="Arial" w:cs="Arial" w:eastAsia="Arial" w:hAnsi="Arial"/>
          <w:b/>
          <w:bCs/>
          <w:color w:val="1B3A6B"/>
          <w:sz w:val="26"/>
          <w:szCs w:val="26"/>
        </w:rPr>
        <w:t xml:space="preserve">1. Sur quoi se basent ces projections ?</w:t>
      </w:r>
    </w:p>
    <w:p>
      <w:pPr>
        <w:spacing w:after="100" w:before="60"/>
      </w:pPr>
      <w:r>
        <w:rPr>
          <w:rFonts w:ascii="Arial" w:cs="Arial" w:eastAsia="Arial" w:hAnsi="Arial"/>
          <w:b w:val="false"/>
          <w:bCs w:val="false"/>
          <w:i w:val="false"/>
          <w:iCs w:val="false"/>
          <w:color w:val="000000"/>
          <w:sz w:val="19"/>
          <w:szCs w:val="19"/>
        </w:rPr>
        <w:t xml:space="preserve">Chaque hypothèse est ancrée dans des données publiques de marché. Voici les 5 fondements clés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Fondement</w:t>
            </w:r>
          </w:p>
        </w:tc>
        <w:tc>
          <w:tcPr>
            <w:tcW w:type="dxa" w:w="43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Donnée utilisée</w:t>
            </w:r>
          </w:p>
        </w:tc>
        <w:tc>
          <w:tcPr>
            <w:tcW w:type="dxa" w:w="2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Source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Marché PropTech FR</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France = marché PropTech à la croissance la plus rapide d'Europe (CAGR ~16 % vs ~11,9 % mondial)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9"/>
                <w:szCs w:val="19"/>
              </w:rPr>
              <w:t xml:space="preserve">Fortune Business Insights / Qubit Capital 2024</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Cold email B2B</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Taux de réponse moyen : 5,1 % — Top performers : 15–25 % avec personnalisation</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9"/>
                <w:szCs w:val="19"/>
              </w:rPr>
              <w:t xml:space="preserve">Belkins / Snovio 2024/2025</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Freemium → payant</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Taux de conversion freemium moyen : 2–5 %. Avec assistance commerciale : 5–15 %</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9"/>
                <w:szCs w:val="19"/>
              </w:rPr>
              <w:t xml:space="preserve">OpenView Partners / Userpilot 2024</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Churn B2B SaaS</w:t>
            </w:r>
          </w:p>
        </w:tc>
        <w:tc>
          <w:tcPr>
            <w:tcW w:type="dxa" w:w="4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Churn mensuel moyen : 3,5 %. Objectif best-in-class PropTech : &lt; 8 % annuel</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9"/>
                <w:szCs w:val="19"/>
              </w:rPr>
              <w:t xml:space="preserve">Qubit Capital / PropTech Benchmarks 2024</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CAC PropTech</w:t>
            </w:r>
          </w:p>
        </w:tc>
        <w:tc>
          <w:tcPr>
            <w:tcW w:type="dxa" w:w="4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CAC médian B2B SaaS : 205 $. PropTech : 2–3× plus élevé (relation-driven)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9"/>
                <w:szCs w:val="19"/>
              </w:rPr>
              <w:t xml:space="preserve">Qubit Capital Benchmarks 2024</w:t>
            </w:r>
          </w:p>
        </w:tc>
      </w:tr>
    </w:tbl>
    <w:p>
      <w:pPr>
        <w:spacing w:after="60" w:before="60"/>
      </w:pPr>
      <w:r>
        <w:t xml:space="preserve"/>
      </w:r>
    </w:p>
    <w:p>
      <w:pPr>
        <w:spacing w:after="40" w:before="40"/>
      </w:pPr>
      <w:r>
        <w:rPr>
          <w:rFonts w:ascii="Arial" w:cs="Arial" w:eastAsia="Arial" w:hAnsi="Arial"/>
          <w:i/>
          <w:iCs/>
          <w:color w:val="666666"/>
          <w:sz w:val="16"/>
          <w:szCs w:val="16"/>
        </w:rPr>
        <w:t xml:space="preserve">→ Source : </w:t>
      </w:r>
      <w:hyperlink w:history="1" r:id="rIdjswqk-_bznzlc6xx1hntz">
        <w:r>
          <w:rPr>
            <w:rStyle w:val="Hyperlink"/>
            <w:rFonts w:ascii="Arial" w:cs="Arial" w:eastAsia="Arial" w:hAnsi="Arial"/>
            <w:i/>
            <w:iCs/>
            <w:color w:val="2E75B6"/>
            <w:sz w:val="16"/>
            <w:szCs w:val="16"/>
          </w:rPr>
          <w:t xml:space="preserve">Qubit Capital — PropTech SaaS Benchmarks</w:t>
        </w:r>
      </w:hyperlink>
    </w:p>
    <w:p>
      <w:pPr>
        <w:spacing w:after="40" w:before="40"/>
      </w:pPr>
      <w:r>
        <w:rPr>
          <w:rFonts w:ascii="Arial" w:cs="Arial" w:eastAsia="Arial" w:hAnsi="Arial"/>
          <w:i/>
          <w:iCs/>
          <w:color w:val="666666"/>
          <w:sz w:val="16"/>
          <w:szCs w:val="16"/>
        </w:rPr>
        <w:t xml:space="preserve">→ Source : </w:t>
      </w:r>
      <w:hyperlink w:history="1" r:id="rIde3wai9qt7oovpnsv059fq">
        <w:r>
          <w:rPr>
            <w:rStyle w:val="Hyperlink"/>
            <w:rFonts w:ascii="Arial" w:cs="Arial" w:eastAsia="Arial" w:hAnsi="Arial"/>
            <w:i/>
            <w:iCs/>
            <w:color w:val="2E75B6"/>
            <w:sz w:val="16"/>
            <w:szCs w:val="16"/>
          </w:rPr>
          <w:t xml:space="preserve">Belkins — Cold email B2B response rates 2024</w:t>
        </w:r>
      </w:hyperlink>
    </w:p>
    <w:p>
      <w:pPr>
        <w:spacing w:after="40" w:before="40"/>
      </w:pPr>
      <w:r>
        <w:rPr>
          <w:rFonts w:ascii="Arial" w:cs="Arial" w:eastAsia="Arial" w:hAnsi="Arial"/>
          <w:i/>
          <w:iCs/>
          <w:color w:val="666666"/>
          <w:sz w:val="16"/>
          <w:szCs w:val="16"/>
        </w:rPr>
        <w:t xml:space="preserve">→ Source : </w:t>
      </w:r>
      <w:hyperlink w:history="1" r:id="rIdjywy_xyev2juqjkotx9om">
        <w:r>
          <w:rPr>
            <w:rStyle w:val="Hyperlink"/>
            <w:rFonts w:ascii="Arial" w:cs="Arial" w:eastAsia="Arial" w:hAnsi="Arial"/>
            <w:i/>
            <w:iCs/>
            <w:color w:val="2E75B6"/>
            <w:sz w:val="16"/>
            <w:szCs w:val="16"/>
          </w:rPr>
          <w:t xml:space="preserve">OpenView / Userpilot — Freemium conversion</w:t>
        </w:r>
      </w:hyperlink>
    </w:p>
    <w:p>
      <w:pPr>
        <w:spacing w:after="60" w:before="60"/>
      </w:pPr>
      <w:r>
        <w:t xml:space="preserve"/>
      </w:r>
    </w:p>
    <w:p>
      <w:pPr>
        <w:pStyle w:val="Heading1"/>
        <w:pBdr>
          <w:bottom w:val="single" w:color="2E75B6" w:sz="4" w:space="3"/>
        </w:pBdr>
        <w:spacing w:after="120" w:before="280"/>
      </w:pPr>
      <w:r>
        <w:rPr>
          <w:rFonts w:ascii="Arial" w:cs="Arial" w:eastAsia="Arial" w:hAnsi="Arial"/>
          <w:b/>
          <w:bCs/>
          <w:color w:val="1B3A6B"/>
          <w:sz w:val="26"/>
          <w:szCs w:val="26"/>
        </w:rPr>
        <w:t xml:space="preserve">2. Projections MRR — 3 scénarios (Mars – Août 2026)</w:t>
      </w:r>
    </w:p>
    <w:p>
      <w:pPr>
        <w:spacing w:after="100" w:before="60"/>
      </w:pPr>
      <w:r>
        <w:rPr>
          <w:rFonts w:ascii="Arial" w:cs="Arial" w:eastAsia="Arial" w:hAnsi="Arial"/>
          <w:b w:val="false"/>
          <w:bCs w:val="false"/>
          <w:i w:val="false"/>
          <w:iCs w:val="false"/>
          <w:color w:val="000000"/>
          <w:sz w:val="19"/>
          <w:szCs w:val="19"/>
        </w:rPr>
        <w:t xml:space="preserve">Modèle à deux sources de revenus : (1) maintenance client n°1 (~1 500 €/mois dès livraison V1) + (2) abonnements SaaS agences à 199–399 €/mois selon l'offre choisie.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93"/>
        <w:gridCol w:w="1293"/>
        <w:gridCol w:w="1293"/>
        <w:gridCol w:w="1293"/>
        <w:gridCol w:w="1293"/>
        <w:gridCol w:w="1295"/>
      </w:tblGrid>
      <w:tr>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Scénario</w:t>
            </w:r>
          </w:p>
        </w:tc>
        <w:tc>
          <w:tcPr>
            <w:tcW w:type="dxa" w:w="1293"/>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M1 Mars</w:t>
            </w:r>
          </w:p>
        </w:tc>
        <w:tc>
          <w:tcPr>
            <w:tcW w:type="dxa" w:w="1293"/>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M2 Avril</w:t>
            </w:r>
          </w:p>
        </w:tc>
        <w:tc>
          <w:tcPr>
            <w:tcW w:type="dxa" w:w="1293"/>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M3 Mai</w:t>
            </w:r>
          </w:p>
        </w:tc>
        <w:tc>
          <w:tcPr>
            <w:tcW w:type="dxa" w:w="1293"/>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M4 Juin</w:t>
            </w:r>
          </w:p>
        </w:tc>
        <w:tc>
          <w:tcPr>
            <w:tcW w:type="dxa" w:w="1293"/>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M5 Juil.</w:t>
            </w:r>
          </w:p>
        </w:tc>
        <w:tc>
          <w:tcPr>
            <w:tcW w:type="dxa" w:w="1295"/>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M6 Août</w:t>
            </w:r>
          </w:p>
        </w:tc>
      </w:tr>
      <w:tr>
        <w:tc>
          <w:tcPr>
            <w:tcW w:type="dxa" w:w="9360"/>
            <w:gridSpan w:val="7"/>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444444"/>
                <w:sz w:val="17"/>
                <w:szCs w:val="17"/>
              </w:rPr>
              <w:t xml:space="preserve">MRR = maintenance client n°1 + abonnements SaaS agences. Hors revenus dev one-shot.</w:t>
            </w:r>
          </w:p>
        </w:tc>
      </w:tr>
      <w:tr>
        <w:tc>
          <w:tcPr>
            <w:tcW w:type="dxa" w:w="16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843C0C"/>
                <w:sz w:val="19"/>
                <w:szCs w:val="19"/>
              </w:rPr>
              <w:t xml:space="preserve">🔴  Pessimiste</w:t>
            </w:r>
          </w:p>
        </w:tc>
        <w:tc>
          <w:tcPr>
            <w:tcW w:type="dxa" w:w="1293"/>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500 €</w:t>
            </w:r>
          </w:p>
        </w:tc>
        <w:tc>
          <w:tcPr>
            <w:tcW w:type="dxa" w:w="1293"/>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1 700 €</w:t>
            </w:r>
          </w:p>
        </w:tc>
        <w:tc>
          <w:tcPr>
            <w:tcW w:type="dxa" w:w="1293"/>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3 200 €</w:t>
            </w:r>
          </w:p>
        </w:tc>
        <w:tc>
          <w:tcPr>
            <w:tcW w:type="dxa" w:w="1293"/>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4 800 €</w:t>
            </w:r>
          </w:p>
        </w:tc>
        <w:tc>
          <w:tcPr>
            <w:tcW w:type="dxa" w:w="1293"/>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6 500 €</w:t>
            </w:r>
          </w:p>
        </w:tc>
        <w:tc>
          <w:tcPr>
            <w:tcW w:type="dxa" w:w="1295"/>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843C0C"/>
                <w:sz w:val="19"/>
                <w:szCs w:val="19"/>
              </w:rPr>
              <w:t xml:space="preserve">8 500 €</w:t>
            </w:r>
          </w:p>
        </w:tc>
      </w:tr>
      <w:tr>
        <w:tc>
          <w:tcPr>
            <w:tcW w:type="dxa" w:w="160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7F6000"/>
                <w:sz w:val="19"/>
                <w:szCs w:val="19"/>
              </w:rPr>
              <w:t xml:space="preserve">🟡  Réaliste</w:t>
            </w:r>
          </w:p>
        </w:tc>
        <w:tc>
          <w:tcPr>
            <w:tcW w:type="dxa" w:w="1293"/>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1 200 €</w:t>
            </w:r>
          </w:p>
        </w:tc>
        <w:tc>
          <w:tcPr>
            <w:tcW w:type="dxa" w:w="1293"/>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3 500 €</w:t>
            </w:r>
          </w:p>
        </w:tc>
        <w:tc>
          <w:tcPr>
            <w:tcW w:type="dxa" w:w="1293"/>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6 000 €</w:t>
            </w:r>
          </w:p>
        </w:tc>
        <w:tc>
          <w:tcPr>
            <w:tcW w:type="dxa" w:w="1293"/>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9 500 €</w:t>
            </w:r>
          </w:p>
        </w:tc>
        <w:tc>
          <w:tcPr>
            <w:tcW w:type="dxa" w:w="1293"/>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13 500 €</w:t>
            </w:r>
          </w:p>
        </w:tc>
        <w:tc>
          <w:tcPr>
            <w:tcW w:type="dxa" w:w="1295"/>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18 500 €</w:t>
            </w:r>
          </w:p>
        </w:tc>
      </w:tr>
      <w:tr>
        <w:tc>
          <w:tcPr>
            <w:tcW w:type="dxa" w:w="16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9"/>
                <w:szCs w:val="19"/>
              </w:rPr>
              <w:t xml:space="preserve">🟢  Optimiste</w:t>
            </w:r>
          </w:p>
        </w:tc>
        <w:tc>
          <w:tcPr>
            <w:tcW w:type="dxa" w:w="1293"/>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2 000 €</w:t>
            </w:r>
          </w:p>
        </w:tc>
        <w:tc>
          <w:tcPr>
            <w:tcW w:type="dxa" w:w="1293"/>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5 500 €</w:t>
            </w:r>
          </w:p>
        </w:tc>
        <w:tc>
          <w:tcPr>
            <w:tcW w:type="dxa" w:w="1293"/>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9 500 €</w:t>
            </w:r>
          </w:p>
        </w:tc>
        <w:tc>
          <w:tcPr>
            <w:tcW w:type="dxa" w:w="1293"/>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15 000 €</w:t>
            </w:r>
          </w:p>
        </w:tc>
        <w:tc>
          <w:tcPr>
            <w:tcW w:type="dxa" w:w="1293"/>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22 000 €</w:t>
            </w:r>
          </w:p>
        </w:tc>
        <w:tc>
          <w:tcPr>
            <w:tcW w:type="dxa" w:w="129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30 000 €</w:t>
            </w:r>
          </w:p>
        </w:tc>
      </w:tr>
      <w:t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9"/>
                <w:szCs w:val="19"/>
              </w:rPr>
              <w:t xml:space="preserve">📍 Break-even</w:t>
            </w:r>
          </w:p>
        </w:tc>
        <w:tc>
          <w:tcPr>
            <w:tcW w:type="dxa" w:w="1293"/>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w:t>
            </w:r>
          </w:p>
        </w:tc>
        <w:tc>
          <w:tcPr>
            <w:tcW w:type="dxa" w:w="1293"/>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w:t>
            </w:r>
          </w:p>
        </w:tc>
        <w:tc>
          <w:tcPr>
            <w:tcW w:type="dxa" w:w="1293"/>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w:t>
            </w:r>
          </w:p>
        </w:tc>
        <w:tc>
          <w:tcPr>
            <w:tcW w:type="dxa" w:w="1293"/>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7F6000"/>
                <w:sz w:val="19"/>
                <w:szCs w:val="19"/>
              </w:rPr>
              <w:t xml:space="preserve">Possible</w:t>
            </w:r>
          </w:p>
        </w:tc>
        <w:tc>
          <w:tcPr>
            <w:tcW w:type="dxa" w:w="1293"/>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Réaliste</w:t>
            </w:r>
          </w:p>
        </w:tc>
        <w:tc>
          <w:tcPr>
            <w:tcW w:type="dxa" w:w="1295"/>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i w:val="false"/>
                <w:iCs w:val="false"/>
                <w:color w:val="375623"/>
                <w:sz w:val="19"/>
                <w:szCs w:val="19"/>
              </w:rPr>
              <w:t xml:space="preserve">Confirmé</w:t>
            </w:r>
          </w:p>
        </w:tc>
      </w:tr>
    </w:tbl>
    <w:p>
      <w:pPr>
        <w:spacing w:after="60" w:before="60"/>
      </w:pPr>
      <w:r>
        <w:t xml:space="preserve"/>
      </w:r>
    </w:p>
    <w:p>
      <w:pPr>
        <w:spacing w:after="100" w:before="60"/>
      </w:pPr>
      <w:r>
        <w:rPr>
          <w:rFonts w:ascii="Arial" w:cs="Arial" w:eastAsia="Arial" w:hAnsi="Arial"/>
          <w:b w:val="false"/>
          <w:bCs w:val="false"/>
          <w:i/>
          <w:iCs/>
          <w:color w:val="666666"/>
          <w:sz w:val="17"/>
          <w:szCs w:val="17"/>
        </w:rPr>
        <w:t xml:space="preserve">Hypothèse de mix tarifaire : 70 % abonnements Standard (199 €/mois) + 30 % Premium (399 €/mois) = revenu moyen par agence payante de ~240 €/mois.</w:t>
      </w:r>
    </w:p>
    <w:p>
      <w:pPr>
        <w:spacing w:after="60" w:before="60"/>
      </w:pPr>
      <w:r>
        <w:t xml:space="preserve"/>
      </w:r>
    </w:p>
    <w:p>
      <w:r>
        <w:br w:type="page"/>
      </w:r>
    </w:p>
    <w:p>
      <w:pPr>
        <w:pStyle w:val="Heading1"/>
        <w:pBdr>
          <w:bottom w:val="single" w:color="2E75B6" w:sz="4" w:space="3"/>
        </w:pBdr>
        <w:spacing w:after="120" w:before="280"/>
      </w:pPr>
      <w:r>
        <w:rPr>
          <w:rFonts w:ascii="Arial" w:cs="Arial" w:eastAsia="Arial" w:hAnsi="Arial"/>
          <w:b/>
          <w:bCs/>
          <w:color w:val="1B3A6B"/>
          <w:sz w:val="26"/>
          <w:szCs w:val="26"/>
        </w:rPr>
        <w:t xml:space="preserve">3. Stratégie d'acquisition — 7 canaux sourcés</w:t>
      </w:r>
    </w:p>
    <w:p>
      <w:pPr>
        <w:spacing w:after="100" w:before="60"/>
      </w:pPr>
      <w:r>
        <w:rPr>
          <w:rFonts w:ascii="Arial" w:cs="Arial" w:eastAsia="Arial" w:hAnsi="Arial"/>
          <w:b w:val="false"/>
          <w:bCs w:val="false"/>
          <w:i w:val="false"/>
          <w:iCs w:val="false"/>
          <w:color w:val="000000"/>
          <w:sz w:val="19"/>
          <w:szCs w:val="19"/>
        </w:rPr>
        <w:t xml:space="preserve">La stratégie combine canaux à activation rapide (cold outreach, Facebook Ads) et canaux de fond (SEO, partenariat Ubiflow). Les benchmarks CPL ci-dessous proviennent d'études sectorielles 2024–2025.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680"/>
        <w:gridCol w:w="1880"/>
      </w:tblGrid>
      <w:tr>
        <w:tc>
          <w:tcPr>
            <w:tcW w:type="dxa" w:w="16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Canal</w:t>
            </w:r>
          </w:p>
        </w:tc>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Budget/mois</w:t>
            </w:r>
          </w:p>
        </w:tc>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CPL estimé</w:t>
            </w:r>
          </w:p>
        </w:tc>
        <w:tc>
          <w:tcPr>
            <w:tcW w:type="dxa" w:w="14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Leads/mois</w:t>
            </w:r>
          </w:p>
        </w:tc>
        <w:tc>
          <w:tcPr>
            <w:tcW w:type="dxa" w:w="16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Activation</w:t>
            </w:r>
          </w:p>
        </w:tc>
        <w:tc>
          <w:tcPr>
            <w:tcW w:type="dxa" w:w="18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Benchmark source</w:t>
            </w:r>
          </w:p>
        </w:tc>
      </w:tr>
      <w:tr>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Cold email
+ LinkedIn</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200–400 €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20–50 €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7"/>
                <w:szCs w:val="17"/>
              </w:rPr>
              <w:t xml:space="preserve">15–30</w:t>
            </w:r>
          </w:p>
        </w:tc>
        <w:tc>
          <w:tcPr>
            <w:tcW w:type="dxa" w:w="1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M1 – immédiat</w:t>
            </w:r>
          </w:p>
        </w:tc>
        <w:tc>
          <w:tcPr>
            <w:tcW w:type="dxa" w:w="18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5"/>
                <w:szCs w:val="15"/>
              </w:rPr>
              <w:t xml:space="preserve">Réponse avg. 5,1 % B2B
(Belkins 2024)</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Google Ads
(Search)</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500–2 000 €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15–40 €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7"/>
                <w:szCs w:val="17"/>
              </w:rPr>
              <w:t xml:space="preserve">15–60</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M4 (stock &gt;500 biens)</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5"/>
                <w:szCs w:val="15"/>
              </w:rPr>
              <w:t xml:space="preserve">CPC immo 1,55–2,53 $
(WordStream / Statista)</w:t>
            </w:r>
          </w:p>
        </w:tc>
      </w:tr>
      <w:tr>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Facebook Ads
(Lead Gen)</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300–800 €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8–14 €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7"/>
                <w:szCs w:val="17"/>
              </w:rPr>
              <w:t xml:space="preserve">25–80</w:t>
            </w:r>
          </w:p>
        </w:tc>
        <w:tc>
          <w:tcPr>
            <w:tcW w:type="dxa" w:w="1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M2–M3</w:t>
            </w:r>
          </w:p>
        </w:tc>
        <w:tc>
          <w:tcPr>
            <w:tcW w:type="dxa" w:w="18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5"/>
                <w:szCs w:val="15"/>
              </w:rPr>
              <w:t xml:space="preserve">CPL immo 13,87 $
(WordStream 2024)</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LinkedIn Ads
(B2B agences)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500–1 500 €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80–120 €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7"/>
                <w:szCs w:val="17"/>
              </w:rPr>
              <w:t xml:space="preserve">5–15</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M3 (budget dispo)</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5"/>
                <w:szCs w:val="15"/>
              </w:rPr>
              <w:t xml:space="preserve">CPL B2B 110 $ avg
(HockeyStack 2025)</w:t>
            </w:r>
          </w:p>
        </w:tc>
      </w:tr>
      <w:tr>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Email marketing
(nurture liste)</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100–200 €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&lt;5 €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7"/>
                <w:szCs w:val="17"/>
              </w:rPr>
              <w:t xml:space="preserve">10–30</w:t>
            </w:r>
          </w:p>
        </w:tc>
        <w:tc>
          <w:tcPr>
            <w:tcW w:type="dxa" w:w="1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M1 – dès 100 contacts</w:t>
            </w:r>
          </w:p>
        </w:tc>
        <w:tc>
          <w:tcPr>
            <w:tcW w:type="dxa" w:w="18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5"/>
                <w:szCs w:val="15"/>
              </w:rPr>
              <w:t xml:space="preserve">ROI email 36:1
(DMA / Litmus 2024)</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Ubiflow
(partenariat flux)</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~0 €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0 €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7"/>
                <w:szCs w:val="17"/>
              </w:rPr>
              <w:t xml:space="preserve">N/A contenu</w:t>
            </w:r>
          </w:p>
        </w:tc>
        <w:tc>
          <w:tcPr>
            <w:tcW w:type="dxa" w:w="1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M3 – négociation M1</w:t>
            </w:r>
          </w:p>
        </w:tc>
        <w:tc>
          <w:tcPr>
            <w:tcW w:type="dxa" w:w="18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5"/>
                <w:szCs w:val="15"/>
              </w:rPr>
              <w:t xml:space="preserve">Réseau &gt;20 000 agences
FR (Ubiflow.net)</w:t>
            </w:r>
          </w:p>
        </w:tc>
      </w:tr>
      <w:tr>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7"/>
                <w:szCs w:val="17"/>
              </w:rPr>
              <w:t xml:space="preserve">📝 SEO + Contenu</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7"/>
                <w:szCs w:val="17"/>
              </w:rPr>
              <w:t xml:space="preserve">400–800 €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7"/>
                <w:szCs w:val="17"/>
              </w:rPr>
              <w:t xml:space="preserve">&lt;2 €</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1B3A6B"/>
                <w:sz w:val="17"/>
                <w:szCs w:val="17"/>
              </w:rPr>
              <w:t xml:space="preserve">Organique M6+</w:t>
            </w:r>
          </w:p>
        </w:tc>
        <w:tc>
          <w:tcPr>
            <w:tcW w:type="dxa" w:w="16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6"/>
                <w:szCs w:val="16"/>
              </w:rPr>
              <w:t xml:space="preserve">M1 – résultats M5–M6</w:t>
            </w:r>
          </w:p>
        </w:tc>
        <w:tc>
          <w:tcPr>
            <w:tcW w:type="dxa" w:w="18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iCs/>
                <w:color w:val="666666"/>
                <w:sz w:val="15"/>
                <w:szCs w:val="15"/>
              </w:rPr>
              <w:t xml:space="preserve">Trafic SEO &gt; ads long terme
(Ahrefs / Semrush data)</w:t>
            </w:r>
          </w:p>
        </w:tc>
      </w:tr>
    </w:tbl>
    <w:p>
      <w:pPr>
        <w:spacing w:after="60" w:before="60"/>
      </w:pPr>
      <w:r>
        <w:t xml:space="preserve"/>
      </w:r>
    </w:p>
    <w:p>
      <w:pPr>
        <w:spacing w:after="40" w:before="40"/>
      </w:pPr>
      <w:r>
        <w:rPr>
          <w:rFonts w:ascii="Arial" w:cs="Arial" w:eastAsia="Arial" w:hAnsi="Arial"/>
          <w:i/>
          <w:iCs/>
          <w:color w:val="666666"/>
          <w:sz w:val="16"/>
          <w:szCs w:val="16"/>
        </w:rPr>
        <w:t xml:space="preserve">→ Source : </w:t>
      </w:r>
      <w:hyperlink w:history="1" r:id="rIdp7naf9kfur1ehsf4fcxdc">
        <w:r>
          <w:rPr>
            <w:rStyle w:val="Hyperlink"/>
            <w:rFonts w:ascii="Arial" w:cs="Arial" w:eastAsia="Arial" w:hAnsi="Arial"/>
            <w:i/>
            <w:iCs/>
            <w:color w:val="2E75B6"/>
            <w:sz w:val="16"/>
            <w:szCs w:val="16"/>
          </w:rPr>
          <w:t xml:space="preserve">WordStream — Facebook Ads Benchmarks 2024</w:t>
        </w:r>
      </w:hyperlink>
    </w:p>
    <w:p>
      <w:pPr>
        <w:spacing w:after="40" w:before="40"/>
      </w:pPr>
      <w:r>
        <w:rPr>
          <w:rFonts w:ascii="Arial" w:cs="Arial" w:eastAsia="Arial" w:hAnsi="Arial"/>
          <w:i/>
          <w:iCs/>
          <w:color w:val="666666"/>
          <w:sz w:val="16"/>
          <w:szCs w:val="16"/>
        </w:rPr>
        <w:t xml:space="preserve">→ Source : </w:t>
      </w:r>
      <w:hyperlink w:history="1" r:id="rIdehrlnwolou1bo7aabjrya">
        <w:r>
          <w:rPr>
            <w:rStyle w:val="Hyperlink"/>
            <w:rFonts w:ascii="Arial" w:cs="Arial" w:eastAsia="Arial" w:hAnsi="Arial"/>
            <w:i/>
            <w:iCs/>
            <w:color w:val="2E75B6"/>
            <w:sz w:val="16"/>
            <w:szCs w:val="16"/>
          </w:rPr>
          <w:t xml:space="preserve">HockeyStack — LinkedIn Ads Benchmarks 2025</w:t>
        </w:r>
      </w:hyperlink>
    </w:p>
    <w:p>
      <w:pPr>
        <w:spacing w:after="40" w:before="40"/>
      </w:pPr>
      <w:r>
        <w:rPr>
          <w:rFonts w:ascii="Arial" w:cs="Arial" w:eastAsia="Arial" w:hAnsi="Arial"/>
          <w:i/>
          <w:iCs/>
          <w:color w:val="666666"/>
          <w:sz w:val="16"/>
          <w:szCs w:val="16"/>
        </w:rPr>
        <w:t xml:space="preserve">→ Source : </w:t>
      </w:r>
      <w:hyperlink w:history="1" r:id="rIdq51w_3i2ie1hnt3poqajv">
        <w:r>
          <w:rPr>
            <w:rStyle w:val="Hyperlink"/>
            <w:rFonts w:ascii="Arial" w:cs="Arial" w:eastAsia="Arial" w:hAnsi="Arial"/>
            <w:i/>
            <w:iCs/>
            <w:color w:val="2E75B6"/>
            <w:sz w:val="16"/>
            <w:szCs w:val="16"/>
          </w:rPr>
          <w:t xml:space="preserve">Statista — Real estate Google Ads CPC 2024</w:t>
        </w:r>
      </w:hyperlink>
    </w:p>
    <w:p>
      <w:pPr>
        <w:spacing w:after="60" w:before="60"/>
      </w:pPr>
      <w:r>
        <w:t xml:space="preserve"/>
      </w:r>
    </w:p>
    <w:p>
      <w:pPr>
        <w:pStyle w:val="Heading2"/>
        <w:spacing w:after="80" w:before="180"/>
      </w:pPr>
      <w:r>
        <w:rPr>
          <w:rFonts w:ascii="Arial" w:cs="Arial" w:eastAsia="Arial" w:hAnsi="Arial"/>
          <w:b/>
          <w:bCs/>
          <w:color w:val="2E75B6"/>
          <w:sz w:val="22"/>
          <w:szCs w:val="22"/>
        </w:rPr>
        <w:t xml:space="preserve">Priorité M1–M3 : Cold email + Facebook Ads</w:t>
      </w:r>
    </w:p>
    <w:p>
      <w:pPr>
        <w:spacing w:after="100" w:before="60"/>
      </w:pPr>
      <w:r>
        <w:rPr>
          <w:rFonts w:ascii="Arial" w:cs="Arial" w:eastAsia="Arial" w:hAnsi="Arial"/>
          <w:b w:val="false"/>
          <w:bCs w:val="false"/>
          <w:i w:val="false"/>
          <w:iCs w:val="false"/>
          <w:color w:val="000000"/>
          <w:sz w:val="19"/>
          <w:szCs w:val="19"/>
        </w:rPr>
        <w:t xml:space="preserve">Le cold email reste le canal le moins cher et le plus immédiat pour acquérir des agences B2B. Avec 60 à 80 agences contactées par semaine via Apollo.io + Lemlist et un taux de réponse de 5–10 % (benchmark Belkins 2024), on obtient 15 à 30 leads agences par mois pour un coût outil de 200–400 €/mois. Facebook Lead Ads immobilier affiche un CPL moyen de 13,87 $ (WordStream 2024), le plus bas du secteur.</w:t>
      </w:r>
    </w:p>
    <w:p>
      <w:pPr>
        <w:spacing w:after="60" w:before="60"/>
      </w:pPr>
      <w:r>
        <w:t xml:space="preserve"/>
      </w:r>
    </w:p>
    <w:p>
      <w:pPr>
        <w:pStyle w:val="Heading2"/>
        <w:spacing w:after="80" w:before="180"/>
      </w:pPr>
      <w:r>
        <w:rPr>
          <w:rFonts w:ascii="Arial" w:cs="Arial" w:eastAsia="Arial" w:hAnsi="Arial"/>
          <w:b/>
          <w:bCs/>
          <w:color w:val="2E75B6"/>
          <w:sz w:val="22"/>
          <w:szCs w:val="22"/>
        </w:rPr>
        <w:t xml:space="preserve">Activation M3–M4 : Ubiflow + Google Ads</w:t>
      </w:r>
    </w:p>
    <w:p>
      <w:pPr>
        <w:spacing w:after="100" w:before="60"/>
      </w:pPr>
      <w:r>
        <w:rPr>
          <w:rFonts w:ascii="Arial" w:cs="Arial" w:eastAsia="Arial" w:hAnsi="Arial"/>
          <w:b w:val="false"/>
          <w:bCs w:val="false"/>
          <w:i w:val="false"/>
          <w:iCs w:val="false"/>
          <w:color w:val="000000"/>
          <w:sz w:val="19"/>
          <w:szCs w:val="19"/>
        </w:rPr>
        <w:t xml:space="preserve">Le partenariat Ubiflow est le levier de contenu gratuit le plus puissant : en devenant portail partenaire, Look4Immo reçoit automatiquement les annonces de toutes les agences connectées au réseau (&gt;20 000 agences en France). Google Ads Search (mots-clés 'bureau à louer [ville]') s'active une fois le stock d'annonces suffisant (&gt;500 biens) pour un CPC de 1,55–2,53 $ selon Statista 2024.</w:t>
      </w:r>
    </w:p>
    <w:p>
      <w:pPr>
        <w:spacing w:after="60" w:before="60"/>
      </w:pPr>
      <w:r>
        <w:t xml:space="preserve"/>
      </w:r>
    </w:p>
    <w:p>
      <w:r>
        <w:br w:type="page"/>
      </w:r>
    </w:p>
    <w:p>
      <w:pPr>
        <w:pStyle w:val="Heading1"/>
        <w:pBdr>
          <w:bottom w:val="single" w:color="2E75B6" w:sz="4" w:space="3"/>
        </w:pBdr>
        <w:spacing w:after="120" w:before="280"/>
      </w:pPr>
      <w:r>
        <w:rPr>
          <w:rFonts w:ascii="Arial" w:cs="Arial" w:eastAsia="Arial" w:hAnsi="Arial"/>
          <w:b/>
          <w:bCs/>
          <w:color w:val="1B3A6B"/>
          <w:sz w:val="26"/>
          <w:szCs w:val="26"/>
        </w:rPr>
        <w:t xml:space="preserve">4. Deux études de cas comparables</w:t>
      </w:r>
    </w:p>
    <w:p>
      <w:pPr>
        <w:spacing w:after="100" w:before="60"/>
      </w:pPr>
      <w:r>
        <w:rPr>
          <w:rFonts w:ascii="Arial" w:cs="Arial" w:eastAsia="Arial" w:hAnsi="Arial"/>
          <w:b w:val="false"/>
          <w:bCs w:val="false"/>
          <w:i w:val="false"/>
          <w:iCs w:val="false"/>
          <w:color w:val="000000"/>
          <w:sz w:val="19"/>
          <w:szCs w:val="19"/>
        </w:rPr>
        <w:t xml:space="preserve">Ces deux cas illustrent des trajectoires réelles de portails B2B / SaaS immobiliers ayant atteint des revenus significatifs en moins de 18 mois.</w:t>
      </w:r>
    </w:p>
    <w:p>
      <w:pPr>
        <w:spacing w:after="60" w:before="60"/>
      </w:pPr>
      <w:r>
        <w:t xml:space="preserve"/>
      </w:r>
    </w:p>
    <w:p>
      <w:pPr>
        <w:pStyle w:val="Heading2"/>
        <w:spacing w:after="80" w:before="180"/>
      </w:pPr>
      <w:r>
        <w:rPr>
          <w:rFonts w:ascii="Arial" w:cs="Arial" w:eastAsia="Arial" w:hAnsi="Arial"/>
          <w:b/>
          <w:bCs/>
          <w:color w:val="2E75B6"/>
          <w:sz w:val="22"/>
          <w:szCs w:val="22"/>
        </w:rPr>
        <w:t xml:space="preserve">Cas 1 — MeilleursAgents.com (France, Résidentiel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MeilleursAgents.com</w:t>
            </w:r>
          </w:p>
        </w:tc>
        <w:tc>
          <w:tcPr>
            <w:tcW w:type="dxa" w:w="6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val="false"/>
                <w:bCs w:val="false"/>
                <w:i/>
                <w:iCs/>
                <w:color w:val="CCDDEE"/>
                <w:sz w:val="17"/>
                <w:szCs w:val="17"/>
              </w:rPr>
              <w:t xml:space="preserve">Portail d'estimation et mise en relation agences — acquis 200 M€ par Axel Springer (AVIV Group)</w:t>
            </w:r>
          </w:p>
        </w:tc>
      </w:tr>
      <w:tr>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Modèle</w:t>
            </w:r>
          </w:p>
        </w:tc>
        <w:tc>
          <w:tcPr>
            <w:tcW w:type="dxa" w:w="616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Portail B2B ciblant les agences immobilières résidentielles en France</w:t>
            </w:r>
          </w:p>
        </w:tc>
      </w:tr>
      <w:tr>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Produit</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Estimation de biens en ligne + mise en relation vendeurs / agences</w:t>
            </w:r>
          </w:p>
        </w:tc>
      </w:tr>
      <w:tr>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Funding total</w:t>
            </w:r>
          </w:p>
        </w:tc>
        <w:tc>
          <w:tcPr>
            <w:tcW w:type="dxa" w:w="616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7,5 M$ levés sur 5 tours (Bpifrance Digital Venture inclus)</w:t>
            </w:r>
          </w:p>
        </w:tc>
      </w:tr>
      <w:tr>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Acquisition</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Rachat par Axel Springer via AVIV Group pour ~200 M€</w:t>
            </w:r>
          </w:p>
        </w:tc>
      </w:tr>
      <w:tr>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1B3A6B"/>
                <w:sz w:val="17"/>
                <w:szCs w:val="17"/>
              </w:rPr>
              <w:t xml:space="preserve">Leçon clé pour Look4Immo</w:t>
            </w:r>
          </w:p>
        </w:tc>
        <w:tc>
          <w:tcPr>
            <w:tcW w:type="dxa" w:w="616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Modèle portail B2B FR = valorisation validée à ~200 M€. Même niche (agences), même pays. IA = différenciateur supplémentaire absent chez MeilleursAgents à l'époque.</w:t>
            </w:r>
          </w:p>
        </w:tc>
      </w:tr>
    </w:tbl>
    <w:p>
      <w:pPr>
        <w:spacing w:after="60" w:before="60"/>
      </w:pPr>
      <w:r>
        <w:t xml:space="preserve"/>
      </w:r>
    </w:p>
    <w:p>
      <w:pPr>
        <w:spacing w:after="40" w:before="40"/>
      </w:pPr>
      <w:r>
        <w:rPr>
          <w:rFonts w:ascii="Arial" w:cs="Arial" w:eastAsia="Arial" w:hAnsi="Arial"/>
          <w:i/>
          <w:iCs/>
          <w:color w:val="666666"/>
          <w:sz w:val="16"/>
          <w:szCs w:val="16"/>
        </w:rPr>
        <w:t xml:space="preserve">→ Source : </w:t>
      </w:r>
      <w:hyperlink w:history="1" r:id="rIdn47edbekaaqaxzm9tfyyo">
        <w:r>
          <w:rPr>
            <w:rStyle w:val="Hyperlink"/>
            <w:rFonts w:ascii="Arial" w:cs="Arial" w:eastAsia="Arial" w:hAnsi="Arial"/>
            <w:i/>
            <w:iCs/>
            <w:color w:val="2E75B6"/>
            <w:sz w:val="16"/>
            <w:szCs w:val="16"/>
          </w:rPr>
          <w:t xml:space="preserve">FrenchWeb — Acquisition MeilleursAgents par Axel Springer</w:t>
        </w:r>
      </w:hyperlink>
    </w:p>
    <w:p>
      <w:pPr>
        <w:spacing w:after="60" w:before="60"/>
      </w:pPr>
      <w:r>
        <w:t xml:space="preserve"/>
      </w:r>
    </w:p>
    <w:p>
      <w:pPr>
        <w:pStyle w:val="Heading2"/>
        <w:spacing w:after="80" w:before="180"/>
      </w:pPr>
      <w:r>
        <w:rPr>
          <w:rFonts w:ascii="Arial" w:cs="Arial" w:eastAsia="Arial" w:hAnsi="Arial"/>
          <w:b/>
          <w:bCs/>
          <w:color w:val="2E75B6"/>
          <w:sz w:val="22"/>
          <w:szCs w:val="22"/>
        </w:rPr>
        <w:t xml:space="preserve">Cas 2 — Deepki (France, PropTech SaaS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Deepki</w:t>
            </w:r>
          </w:p>
        </w:tc>
        <w:tc>
          <w:tcPr>
            <w:tcW w:type="dxa" w:w="616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val="false"/>
                <w:bCs w:val="false"/>
                <w:i/>
                <w:iCs/>
                <w:color w:val="CCDDEE"/>
                <w:sz w:val="17"/>
                <w:szCs w:val="17"/>
              </w:rPr>
              <w:t xml:space="preserve">SaaS ESG &amp; Analytics pour gestionnaires d'actifs immobiliers — 500+ clients, 80+ pays</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Modèle</w:t>
            </w:r>
          </w:p>
        </w:tc>
        <w:tc>
          <w:tcPr>
            <w:tcW w:type="dxa" w:w="61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SaaS B2B pour l'immobilier : abonnements mensuels récurrents par portefeuille d'actifs</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Revenus 2021</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6,4 M$</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Revenus 2023</w:t>
            </w:r>
          </w:p>
        </w:tc>
        <w:tc>
          <w:tcPr>
            <w:tcW w:type="dxa" w:w="61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 M$  (+197 % en 2 ans)</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Revenus 2024</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30,8 M$  (+62 % en 1 an)</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Funding</w:t>
            </w:r>
          </w:p>
        </w:tc>
        <w:tc>
          <w:tcPr>
            <w:tcW w:type="dxa" w:w="616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176 M$ total — Série C 166 M$ (Highland Europe, One Peak, Bpifrance)</w:t>
            </w:r>
          </w:p>
        </w:tc>
      </w:tr>
      <w:tr>
        <w:tc>
          <w:tcPr>
            <w:tcW w:type="dxa" w:w="3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17"/>
                <w:szCs w:val="17"/>
              </w:rPr>
              <w:t xml:space="preserve">Leçon clé pour Look4Immo</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De 6,4 M$ à 30,8 M$ en 3 ans sur un modèle SaaS B2B immo 100 % français. La croissance a démarré lentement (M1–M6) puis s'est emballée grâce au bouche-à-oreille B2B et aux partenariats. Même mécanique visée par Look4Immo sur un segment différent (portail vs. analytics).</w:t>
            </w:r>
          </w:p>
        </w:tc>
      </w:tr>
    </w:tbl>
    <w:p>
      <w:pPr>
        <w:spacing w:after="60" w:before="60"/>
      </w:pPr>
      <w:r>
        <w:t xml:space="preserve"/>
      </w:r>
    </w:p>
    <w:p>
      <w:pPr>
        <w:spacing w:after="40" w:before="40"/>
      </w:pPr>
      <w:r>
        <w:rPr>
          <w:rFonts w:ascii="Arial" w:cs="Arial" w:eastAsia="Arial" w:hAnsi="Arial"/>
          <w:i/>
          <w:iCs/>
          <w:color w:val="666666"/>
          <w:sz w:val="16"/>
          <w:szCs w:val="16"/>
        </w:rPr>
        <w:t xml:space="preserve">→ Source : </w:t>
      </w:r>
      <w:hyperlink w:history="1" r:id="rIdda_asxc5jlrfnqflhyb8h">
        <w:r>
          <w:rPr>
            <w:rStyle w:val="Hyperlink"/>
            <w:rFonts w:ascii="Arial" w:cs="Arial" w:eastAsia="Arial" w:hAnsi="Arial"/>
            <w:i/>
            <w:iCs/>
            <w:color w:val="2E75B6"/>
            <w:sz w:val="16"/>
            <w:szCs w:val="16"/>
          </w:rPr>
          <w:t xml:space="preserve">TechCrunch — Deepki raises $166M Series C</w:t>
        </w:r>
      </w:hyperlink>
    </w:p>
    <w:p>
      <w:pPr>
        <w:spacing w:after="40" w:before="40"/>
      </w:pPr>
      <w:r>
        <w:rPr>
          <w:rFonts w:ascii="Arial" w:cs="Arial" w:eastAsia="Arial" w:hAnsi="Arial"/>
          <w:i/>
          <w:iCs/>
          <w:color w:val="666666"/>
          <w:sz w:val="16"/>
          <w:szCs w:val="16"/>
        </w:rPr>
        <w:t xml:space="preserve">→ Source : </w:t>
      </w:r>
      <w:hyperlink w:history="1" r:id="rIdrvysszw2rbwziuftxkkri">
        <w:r>
          <w:rPr>
            <w:rStyle w:val="Hyperlink"/>
            <w:rFonts w:ascii="Arial" w:cs="Arial" w:eastAsia="Arial" w:hAnsi="Arial"/>
            <w:i/>
            <w:iCs/>
            <w:color w:val="2E75B6"/>
            <w:sz w:val="16"/>
            <w:szCs w:val="16"/>
          </w:rPr>
          <w:t xml:space="preserve">GetLatka — Deepki $30.8M revenue 2024</w:t>
        </w:r>
      </w:hyperlink>
    </w:p>
    <w:p>
      <w:pPr>
        <w:spacing w:after="60" w:before="60"/>
      </w:pPr>
      <w:r>
        <w:t xml:space="preserve"/>
      </w:r>
    </w:p>
    <w:p>
      <w:pPr>
        <w:pStyle w:val="Heading1"/>
        <w:pBdr>
          <w:bottom w:val="single" w:color="2E75B6" w:sz="4" w:space="3"/>
        </w:pBdr>
        <w:spacing w:after="120" w:before="280"/>
      </w:pPr>
      <w:r>
        <w:rPr>
          <w:rFonts w:ascii="Arial" w:cs="Arial" w:eastAsia="Arial" w:hAnsi="Arial"/>
          <w:b/>
          <w:bCs/>
          <w:color w:val="1B3A6B"/>
          <w:sz w:val="26"/>
          <w:szCs w:val="26"/>
        </w:rPr>
        <w:t xml:space="preserve">5. Analyse du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9"/>
                <w:szCs w:val="19"/>
              </w:rPr>
              <w:t xml:space="preserve">Coûts mensuels</w:t>
            </w:r>
          </w:p>
        </w:tc>
        <w:tc>
          <w:tcPr>
            <w:tcW w:type="dxa" w:w="27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Fourchette basse</w:t>
            </w:r>
          </w:p>
        </w:tc>
        <w:tc>
          <w:tcPr>
            <w:tcW w:type="dxa" w:w="2780"/>
            <w:gridSpan w:val="1"/>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Fourchette haute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Dev + infra + maintenance Mith</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3 000 €</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5 000 €</w:t>
            </w:r>
          </w:p>
        </w:tc>
      </w:tr>
      <w:tr>
        <w:tc>
          <w:tcPr>
            <w:tcW w:type="dxa" w:w="3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Marketing (ads + outils Apollo, Lemlist…)</w:t>
            </w:r>
          </w:p>
        </w:tc>
        <w:tc>
          <w:tcPr>
            <w:tcW w:type="dxa" w:w="27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1 500 €</w:t>
            </w:r>
          </w:p>
        </w:tc>
        <w:tc>
          <w:tcPr>
            <w:tcW w:type="dxa" w:w="27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3 500 €</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Outils SaaS (Semrush, hébergement, misc)</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400 €</w:t>
            </w:r>
          </w:p>
        </w:tc>
        <w:tc>
          <w:tcPr>
            <w:tcW w:type="dxa" w:w="2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800 €</w:t>
            </w:r>
          </w:p>
        </w:tc>
      </w:tr>
      <w:tr>
        <w:tc>
          <w:tcPr>
            <w:tcW w:type="dxa" w:w="3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Divers</w:t>
            </w:r>
          </w:p>
        </w:tc>
        <w:tc>
          <w:tcPr>
            <w:tcW w:type="dxa" w:w="27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200 €</w:t>
            </w:r>
          </w:p>
        </w:tc>
        <w:tc>
          <w:tcPr>
            <w:tcW w:type="dxa" w:w="27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9"/>
                <w:szCs w:val="19"/>
              </w:rPr>
              <w:t xml:space="preserve">500 €</w:t>
            </w:r>
          </w:p>
        </w:tc>
      </w:tr>
      <w:tr>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TOTAL</w:t>
            </w:r>
          </w:p>
        </w:tc>
        <w:tc>
          <w:tcPr>
            <w:tcW w:type="dxa" w:w="27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5 100 €</w:t>
            </w:r>
          </w:p>
        </w:tc>
        <w:tc>
          <w:tcPr>
            <w:tcW w:type="dxa" w:w="27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9 800 €</w:t>
            </w:r>
          </w:p>
        </w:tc>
      </w:tr>
      <w:tr>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Nb. agences payantes requis (à 240 €/mois moy.)</w:t>
            </w:r>
          </w:p>
        </w:tc>
        <w:tc>
          <w:tcPr>
            <w:tcW w:type="dxa" w:w="27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~22 agences</w:t>
            </w:r>
          </w:p>
        </w:tc>
        <w:tc>
          <w:tcPr>
            <w:tcW w:type="dxa" w:w="27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9"/>
                <w:szCs w:val="19"/>
              </w:rPr>
              <w:t xml:space="preserve">~41 agences</w:t>
            </w:r>
          </w:p>
        </w:tc>
      </w:tr>
    </w:tbl>
    <w:p>
      <w:pPr>
        <w:spacing w:after="60" w:before="60"/>
      </w:pPr>
      <w:r>
        <w:t xml:space="preserve"/>
      </w:r>
    </w:p>
    <w:p>
      <w:pPr>
        <w:spacing w:after="100" w:before="60"/>
      </w:pPr>
      <w:r>
        <w:rPr>
          <w:rFonts w:ascii="Arial" w:cs="Arial" w:eastAsia="Arial" w:hAnsi="Arial"/>
          <w:b/>
          <w:bCs/>
          <w:i w:val="false"/>
          <w:iCs w:val="false"/>
          <w:color w:val="1B3A6B"/>
          <w:sz w:val="19"/>
          <w:szCs w:val="19"/>
        </w:rPr>
        <w:t xml:space="preserve">→  Scénario réaliste : 28–50 agences payantes à M4. Break-even atteint entre M4 et M5.</w:t>
      </w:r>
    </w:p>
    <w:p>
      <w:pPr>
        <w:spacing w:after="60" w:before="60"/>
      </w:pPr>
      <w:r>
        <w:t xml:space="preserve"/>
      </w:r>
    </w:p>
    <w:p>
      <w:pPr>
        <w:pBdr>
          <w:top w:val="single" w:color="CCCCCC" w:sz="4" w:space="4"/>
        </w:pBdr>
        <w:spacing w:after="80" w:before="240"/>
      </w:pPr>
      <w:r>
        <w:rPr>
          <w:rFonts w:ascii="Arial" w:cs="Arial" w:eastAsia="Arial" w:hAnsi="Arial"/>
          <w:i/>
          <w:iCs/>
          <w:color w:val="888888"/>
          <w:sz w:val="16"/>
          <w:szCs w:val="16"/>
        </w:rPr>
        <w:t xml:space="preserve">⚠  Ce document est une estimation prospective fondée sur des benchmarks publics (2024–2025). Les résultats réels peuvent différer selon l'exécution, la compétition et les conditions de marché. Ces projections ne constituent pas une garantie de performance et doivent être validées par un expert-comptable avant toute décision d'investissement.</w:t>
      </w:r>
    </w:p>
    <w:sectPr>
      <w:headerReference w:type="default" r:id="rId7"/>
      <w:footerReference w:type="default" r:id="rId8"/>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2"/>
      </w:pBdr>
      <w:spacing w:before="60"/>
    </w:pPr>
    <w:r>
      <w:rPr>
        <w:rFonts w:ascii="Arial" w:cs="Arial" w:eastAsia="Arial" w:hAnsi="Arial"/>
        <w:i/>
        <w:iCs/>
        <w:color w:val="999999"/>
        <w:sz w:val="15"/>
        <w:szCs w:val="15"/>
      </w:rPr>
      <w:t xml:space="preserve">Document confidentiel — estimations à faire valider par un expert-comptable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0"/>
    </w:pPr>
    <w:r>
      <w:rPr>
        <w:rFonts w:ascii="Arial" w:cs="Arial" w:eastAsia="Arial" w:hAnsi="Arial"/>
        <w:b/>
        <w:bCs/>
        <w:color w:val="1B3A6B"/>
        <w:sz w:val="17"/>
        <w:szCs w:val="17"/>
      </w:rPr>
      <w:t xml:space="preserve">Look4Immo.pro  —  Rapport MRR &amp; Stratégie d'Acquisition  |  Données sourcées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3"/>
      </w:pBdr>
      <w:spacing w:after="120" w:before="280"/>
      <w:outlineLvl w:val="0"/>
    </w:pPr>
    <w:rPr>
      <w:rFonts w:ascii="Arial" w:cs="Arial" w:eastAsia="Arial" w:hAnsi="Arial"/>
      <w:b/>
      <w:bCs/>
      <w:color w:val="1B3A6B"/>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swqk-_bznzlc6xx1hntz" Type="http://schemas.openxmlformats.org/officeDocument/2006/relationships/hyperlink" Target="https://qubit.capital/blog/proptech-saas-kpi-benchmarks" TargetMode="External"/><Relationship Id="rIde3wai9qt7oovpnsv059fq" Type="http://schemas.openxmlformats.org/officeDocument/2006/relationships/hyperlink" Target="https://belkins.io/blog/cold-email-response-rates" TargetMode="External"/><Relationship Id="rIdjywy_xyev2juqjkotx9om" Type="http://schemas.openxmlformats.org/officeDocument/2006/relationships/hyperlink" Target="https://userpilot.com/blog/freemium-conversion-rate/" TargetMode="External"/><Relationship Id="rIdp7naf9kfur1ehsf4fcxdc" Type="http://schemas.openxmlformats.org/officeDocument/2006/relationships/hyperlink" Target="https://www.wordstream.com/blog/facebook-ads-benchmarks-2024" TargetMode="External"/><Relationship Id="rIdehrlnwolou1bo7aabjrya" Type="http://schemas.openxmlformats.org/officeDocument/2006/relationships/hyperlink" Target="https://www.hockeystack.com/lab-blog-posts/linkedin-ads-benchmarks" TargetMode="External"/><Relationship Id="rIdq51w_3i2ie1hnt3poqajv" Type="http://schemas.openxmlformats.org/officeDocument/2006/relationships/hyperlink" Target="https://www.statista.com/statistics/1402647/real-estate-googleads-cpc/" TargetMode="External"/><Relationship Id="rIdn47edbekaaqaxzm9tfyyo" Type="http://schemas.openxmlformats.org/officeDocument/2006/relationships/hyperlink" Target="https://www.frenchweb.fr/meilleurs-agents-la-premiere-mission-apres-un-rachat-est-de-communiquer-en-interne/404444" TargetMode="External"/><Relationship Id="rIdda_asxc5jlrfnqflhyb8h" Type="http://schemas.openxmlformats.org/officeDocument/2006/relationships/hyperlink" Target="https://techcrunch.com/2022/03/31/deepki-grabs-166-million-to-help-real-estate-investors-reduce-carbon-emissions/" TargetMode="External"/><Relationship Id="rIdrvysszw2rbwziuftxkkri" Type="http://schemas.openxmlformats.org/officeDocument/2006/relationships/hyperlink" Target="https://getlatka.com/companies/deepki"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2026-03-06T20:48:05.456Z</dcterms:created>
  <dcterms:modified xsi:type="dcterms:W3CDTF">2026-03-06T20:48:05.456Z</dcterms:modified>
</cp:coreProperties>
</file>

<file path=docProps/custom.xml><?xml version="1.0" encoding="utf-8"?>
<Properties xmlns="http://schemas.openxmlformats.org/officeDocument/2006/custom-properties" xmlns:vt="http://schemas.openxmlformats.org/officeDocument/2006/docPropsVTypes"/>
</file>