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EFEC8" w14:textId="77777777" w:rsidR="00000000" w:rsidRDefault="00000000">
      <w:pPr>
        <w:jc w:val="center"/>
        <w:divId w:val="1608197098"/>
        <w:rPr>
          <w:rFonts w:eastAsia="Times New Roman"/>
          <w:b/>
          <w:bCs/>
          <w:kern w:val="0"/>
          <w:lang w:val="en"/>
          <w14:ligatures w14:val="none"/>
        </w:rPr>
      </w:pPr>
      <w:r>
        <w:rPr>
          <w:rFonts w:eastAsia="Times New Roman"/>
          <w:b/>
          <w:bCs/>
          <w:lang w:val="en"/>
        </w:rPr>
        <w:t>UNCLASSIFIED//FOR OFFICIAL USE ONLY</w:t>
      </w:r>
    </w:p>
    <w:tbl>
      <w:tblPr>
        <w:tblW w:w="5000" w:type="pct"/>
        <w:tblCellMar>
          <w:top w:w="15" w:type="dxa"/>
          <w:left w:w="15" w:type="dxa"/>
          <w:bottom w:w="15" w:type="dxa"/>
          <w:right w:w="15" w:type="dxa"/>
        </w:tblCellMar>
        <w:tblLook w:val="04A0" w:firstRow="1" w:lastRow="0" w:firstColumn="1" w:lastColumn="0" w:noHBand="0" w:noVBand="1"/>
      </w:tblPr>
      <w:tblGrid>
        <w:gridCol w:w="1950"/>
        <w:gridCol w:w="7410"/>
      </w:tblGrid>
      <w:tr w:rsidR="00000000" w14:paraId="747263A0" w14:textId="77777777">
        <w:trPr>
          <w:divId w:val="18358357"/>
        </w:trPr>
        <w:tc>
          <w:tcPr>
            <w:tcW w:w="1800" w:type="dxa"/>
            <w:hideMark/>
          </w:tcPr>
          <w:p w14:paraId="3D713232" w14:textId="77777777" w:rsidR="00000000" w:rsidRDefault="00000000">
            <w:pPr>
              <w:rPr>
                <w:rFonts w:eastAsia="Times New Roman"/>
              </w:rPr>
            </w:pPr>
            <w:r>
              <w:rPr>
                <w:rFonts w:eastAsia="Times New Roman"/>
              </w:rPr>
              <w:fldChar w:fldCharType="begin"/>
            </w:r>
            <w:r>
              <w:rPr>
                <w:rFonts w:eastAsia="Times New Roman"/>
              </w:rPr>
              <w:instrText xml:space="preserve"> INCLUDEPICTURE  \d "https://upload.wikimedia.org/wikipedia/commons/thumb/d/da/Seal_of_the_Federal_Bureau_of_Investigation.svg/96px-Seal_of_the_Federal_Bureau_of_Investigation.svg.png" \x \y \* MERGEFORMATINET </w:instrText>
            </w:r>
            <w:r>
              <w:rPr>
                <w:rFonts w:eastAsia="Times New Roman"/>
              </w:rPr>
              <w:fldChar w:fldCharType="separate"/>
            </w:r>
            <w:r>
              <w:rPr>
                <w:rFonts w:eastAsia="Times New Roman"/>
                <w:noProof/>
              </w:rPr>
              <w:drawing>
                <wp:inline distT="0" distB="0" distL="0" distR="0" wp14:anchorId="19932812" wp14:editId="3D750A1D">
                  <wp:extent cx="1219200" cy="1257300"/>
                  <wp:effectExtent l="0" t="0" r="0" b="0"/>
                  <wp:docPr id="1" name="Picture 1" descr="FBI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I Seal"/>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219200" cy="1257300"/>
                          </a:xfrm>
                          <a:prstGeom prst="rect">
                            <a:avLst/>
                          </a:prstGeom>
                          <a:noFill/>
                          <a:ln>
                            <a:noFill/>
                          </a:ln>
                        </pic:spPr>
                      </pic:pic>
                    </a:graphicData>
                  </a:graphic>
                </wp:inline>
              </w:drawing>
            </w:r>
            <w:r>
              <w:rPr>
                <w:rFonts w:eastAsia="Times New Roman"/>
              </w:rPr>
              <w:fldChar w:fldCharType="end"/>
            </w:r>
          </w:p>
        </w:tc>
        <w:tc>
          <w:tcPr>
            <w:tcW w:w="0" w:type="auto"/>
            <w:tcMar>
              <w:top w:w="15" w:type="dxa"/>
              <w:left w:w="300" w:type="dxa"/>
              <w:bottom w:w="15" w:type="dxa"/>
              <w:right w:w="15" w:type="dxa"/>
            </w:tcMar>
            <w:hideMark/>
          </w:tcPr>
          <w:p w14:paraId="3A9F8573" w14:textId="77777777" w:rsidR="00000000" w:rsidRDefault="00000000">
            <w:pPr>
              <w:pStyle w:val="Heading1"/>
              <w:rPr>
                <w:rFonts w:eastAsia="Times New Roman"/>
              </w:rPr>
            </w:pPr>
            <w:r>
              <w:rPr>
                <w:rFonts w:eastAsia="Times New Roman"/>
              </w:rPr>
              <w:t>FEDERAL BUREAU OF INVESTIGATION</w:t>
            </w:r>
          </w:p>
          <w:p w14:paraId="14CF6C17" w14:textId="77777777" w:rsidR="00000000" w:rsidRDefault="00000000">
            <w:pPr>
              <w:divId w:val="1582786392"/>
              <w:rPr>
                <w:rFonts w:eastAsia="Times New Roman"/>
              </w:rPr>
            </w:pPr>
            <w:r>
              <w:rPr>
                <w:rFonts w:eastAsia="Times New Roman"/>
              </w:rPr>
              <w:t>New York Field Office</w:t>
            </w:r>
            <w:r>
              <w:rPr>
                <w:rFonts w:eastAsia="Times New Roman"/>
              </w:rPr>
              <w:br/>
              <w:t>26 Federal Plaza, 23rd Floor</w:t>
            </w:r>
            <w:r>
              <w:rPr>
                <w:rFonts w:eastAsia="Times New Roman"/>
              </w:rPr>
              <w:br/>
              <w:t xml:space="preserve">New York, NY 10278 </w:t>
            </w:r>
          </w:p>
        </w:tc>
      </w:tr>
    </w:tbl>
    <w:p w14:paraId="6364F6F2" w14:textId="77777777" w:rsidR="00000000" w:rsidRDefault="00000000">
      <w:pPr>
        <w:pStyle w:val="Heading1"/>
        <w:jc w:val="center"/>
        <w:divId w:val="1091851815"/>
        <w:rPr>
          <w:rFonts w:eastAsia="Times New Roman"/>
          <w:lang w:val="en"/>
        </w:rPr>
      </w:pPr>
      <w:r>
        <w:rPr>
          <w:rFonts w:eastAsia="Times New Roman"/>
          <w:lang w:val="en"/>
        </w:rPr>
        <w:t>FBI Intelligence Information Report (IIR)</w:t>
      </w:r>
    </w:p>
    <w:p w14:paraId="33628B7D" w14:textId="77777777" w:rsidR="00000000" w:rsidRDefault="00000000">
      <w:pPr>
        <w:pStyle w:val="NormalWeb"/>
        <w:divId w:val="658121830"/>
        <w:rPr>
          <w:lang w:val="en"/>
        </w:rPr>
      </w:pPr>
      <w:r>
        <w:rPr>
          <w:rStyle w:val="Strong"/>
          <w:lang w:val="en"/>
        </w:rPr>
        <w:t>Serial Number:</w:t>
      </w:r>
      <w:r>
        <w:rPr>
          <w:lang w:val="en"/>
        </w:rPr>
        <w:t xml:space="preserve"> 2025-065-HQ-12345</w:t>
      </w:r>
    </w:p>
    <w:p w14:paraId="668E11A0" w14:textId="77777777" w:rsidR="00000000" w:rsidRDefault="00000000">
      <w:pPr>
        <w:pStyle w:val="NormalWeb"/>
        <w:divId w:val="658121830"/>
        <w:rPr>
          <w:lang w:val="en"/>
        </w:rPr>
      </w:pPr>
      <w:r>
        <w:rPr>
          <w:rStyle w:val="Strong"/>
          <w:lang w:val="en"/>
        </w:rPr>
        <w:t>Date of Report:</w:t>
      </w:r>
      <w:r>
        <w:rPr>
          <w:lang w:val="en"/>
        </w:rPr>
        <w:t xml:space="preserve"> August 27, 2025</w:t>
      </w:r>
    </w:p>
    <w:p w14:paraId="73471172" w14:textId="77777777" w:rsidR="00000000" w:rsidRDefault="00000000">
      <w:pPr>
        <w:pStyle w:val="NormalWeb"/>
        <w:divId w:val="658121830"/>
        <w:rPr>
          <w:lang w:val="en"/>
        </w:rPr>
      </w:pPr>
      <w:r>
        <w:rPr>
          <w:rStyle w:val="Strong"/>
          <w:lang w:val="en"/>
        </w:rPr>
        <w:t>Originating Office:</w:t>
      </w:r>
      <w:r>
        <w:rPr>
          <w:lang w:val="en"/>
        </w:rPr>
        <w:t xml:space="preserve"> FBI New York Field Intelligence Group</w:t>
      </w:r>
    </w:p>
    <w:p w14:paraId="087538F4" w14:textId="77777777" w:rsidR="00000000" w:rsidRDefault="00000000">
      <w:pPr>
        <w:pStyle w:val="NormalWeb"/>
        <w:divId w:val="658121830"/>
        <w:rPr>
          <w:lang w:val="en"/>
        </w:rPr>
      </w:pPr>
      <w:r>
        <w:rPr>
          <w:rStyle w:val="Strong"/>
          <w:lang w:val="en"/>
        </w:rPr>
        <w:t>Reporting Agent:</w:t>
      </w:r>
      <w:r>
        <w:rPr>
          <w:lang w:val="en"/>
        </w:rPr>
        <w:t xml:space="preserve"> SA John A. Doe, Intelligence Analyst</w:t>
      </w:r>
    </w:p>
    <w:p w14:paraId="1416A9C2" w14:textId="77777777" w:rsidR="00000000" w:rsidRDefault="00000000">
      <w:pPr>
        <w:pStyle w:val="Heading2"/>
        <w:shd w:val="clear" w:color="auto" w:fill="014791"/>
        <w:divId w:val="1964654413"/>
        <w:rPr>
          <w:rFonts w:eastAsia="Times New Roman"/>
          <w:color w:val="FFFFFF"/>
          <w:lang w:val="en"/>
        </w:rPr>
      </w:pPr>
      <w:r>
        <w:rPr>
          <w:rFonts w:eastAsia="Times New Roman"/>
          <w:color w:val="FFFFFF"/>
          <w:lang w:val="en"/>
        </w:rPr>
        <w:t>1. Administrative Data</w:t>
      </w:r>
    </w:p>
    <w:p w14:paraId="447B2508" w14:textId="77777777" w:rsidR="00000000" w:rsidRDefault="00000000">
      <w:pPr>
        <w:pStyle w:val="NormalWeb"/>
        <w:divId w:val="18358357"/>
        <w:rPr>
          <w:lang w:val="en"/>
        </w:rPr>
      </w:pPr>
      <w:r>
        <w:rPr>
          <w:rStyle w:val="Strong"/>
          <w:lang w:val="en"/>
        </w:rPr>
        <w:t>Subject:</w:t>
      </w:r>
      <w:r>
        <w:rPr>
          <w:lang w:val="en"/>
        </w:rPr>
        <w:t xml:space="preserve"> Planned civil disturbance by Liberty Seekers Group, New York City</w:t>
      </w:r>
    </w:p>
    <w:p w14:paraId="43488E88" w14:textId="77777777" w:rsidR="00000000" w:rsidRDefault="00000000">
      <w:pPr>
        <w:pStyle w:val="NormalWeb"/>
        <w:divId w:val="18358357"/>
        <w:rPr>
          <w:lang w:val="en"/>
        </w:rPr>
      </w:pPr>
      <w:r>
        <w:rPr>
          <w:rStyle w:val="Strong"/>
          <w:lang w:val="en"/>
        </w:rPr>
        <w:t>Source Reliability:</w:t>
      </w:r>
      <w:r>
        <w:rPr>
          <w:lang w:val="en"/>
        </w:rPr>
        <w:t xml:space="preserve"> Reliable (CHS NY-CHS-109438; history of actionable intelligence, most recently corroborated June 2025)</w:t>
      </w:r>
    </w:p>
    <w:p w14:paraId="5190BD17" w14:textId="77777777" w:rsidR="00000000" w:rsidRDefault="00000000">
      <w:pPr>
        <w:pStyle w:val="NormalWeb"/>
        <w:divId w:val="18358357"/>
        <w:rPr>
          <w:lang w:val="en"/>
        </w:rPr>
      </w:pPr>
      <w:r>
        <w:rPr>
          <w:rStyle w:val="Strong"/>
          <w:lang w:val="en"/>
        </w:rPr>
        <w:t>Report Classification:</w:t>
      </w:r>
      <w:r>
        <w:rPr>
          <w:lang w:val="en"/>
        </w:rPr>
        <w:t xml:space="preserve"> Law Enforcement Sensitive (LES)</w:t>
      </w:r>
    </w:p>
    <w:p w14:paraId="38B2F259" w14:textId="77777777" w:rsidR="00000000" w:rsidRDefault="00000000">
      <w:pPr>
        <w:pStyle w:val="NormalWeb"/>
        <w:divId w:val="18358357"/>
        <w:rPr>
          <w:lang w:val="en"/>
        </w:rPr>
      </w:pPr>
      <w:r>
        <w:rPr>
          <w:rStyle w:val="Strong"/>
          <w:lang w:val="en"/>
        </w:rPr>
        <w:t>Case Reference:</w:t>
      </w:r>
      <w:r>
        <w:rPr>
          <w:lang w:val="en"/>
        </w:rPr>
        <w:t xml:space="preserve"> NY-DF-5002</w:t>
      </w:r>
    </w:p>
    <w:p w14:paraId="440815C0" w14:textId="77777777" w:rsidR="00000000" w:rsidRDefault="00000000">
      <w:pPr>
        <w:pStyle w:val="NormalWeb"/>
        <w:divId w:val="18358357"/>
        <w:rPr>
          <w:lang w:val="en"/>
        </w:rPr>
      </w:pPr>
      <w:r>
        <w:rPr>
          <w:rStyle w:val="Strong"/>
          <w:lang w:val="en"/>
        </w:rPr>
        <w:t>Date Information Received:</w:t>
      </w:r>
      <w:r>
        <w:rPr>
          <w:lang w:val="en"/>
        </w:rPr>
        <w:t xml:space="preserve"> August 25, 2025</w:t>
      </w:r>
    </w:p>
    <w:p w14:paraId="0537434A" w14:textId="77777777" w:rsidR="00000000" w:rsidRDefault="00000000">
      <w:pPr>
        <w:pStyle w:val="NormalWeb"/>
        <w:divId w:val="18358357"/>
        <w:rPr>
          <w:lang w:val="en"/>
        </w:rPr>
      </w:pPr>
      <w:r>
        <w:rPr>
          <w:rStyle w:val="Strong"/>
          <w:lang w:val="en"/>
        </w:rPr>
        <w:t>IIR Version:</w:t>
      </w:r>
      <w:r>
        <w:rPr>
          <w:lang w:val="en"/>
        </w:rPr>
        <w:t xml:space="preserve"> Initial, peer-reviewed draft</w:t>
      </w:r>
    </w:p>
    <w:p w14:paraId="341D2DDF" w14:textId="77777777" w:rsidR="00000000" w:rsidRDefault="00000000">
      <w:pPr>
        <w:pStyle w:val="NormalWeb"/>
        <w:divId w:val="18358357"/>
        <w:rPr>
          <w:lang w:val="en"/>
        </w:rPr>
      </w:pPr>
      <w:r>
        <w:rPr>
          <w:rStyle w:val="Strong"/>
          <w:lang w:val="en"/>
        </w:rPr>
        <w:t>Dissemination Level:</w:t>
      </w:r>
      <w:r>
        <w:rPr>
          <w:lang w:val="en"/>
        </w:rPr>
        <w:t xml:space="preserve"> Federal/State/Local Law Enforcement, Intelligence Community</w:t>
      </w:r>
    </w:p>
    <w:p w14:paraId="5E75A27F" w14:textId="77777777" w:rsidR="00000000" w:rsidRDefault="00000000">
      <w:pPr>
        <w:pStyle w:val="NormalWeb"/>
        <w:divId w:val="18358357"/>
        <w:rPr>
          <w:lang w:val="en"/>
        </w:rPr>
      </w:pPr>
      <w:r>
        <w:rPr>
          <w:rStyle w:val="Strong"/>
          <w:lang w:val="en"/>
        </w:rPr>
        <w:t>Record Retention:</w:t>
      </w:r>
      <w:r>
        <w:rPr>
          <w:lang w:val="en"/>
        </w:rPr>
        <w:t xml:space="preserve"> Classified per DOJ and NARA schedule; two years for dissemination activities, thirty years for raw reporting files</w:t>
      </w:r>
    </w:p>
    <w:p w14:paraId="61E7BDD9" w14:textId="77777777" w:rsidR="00000000" w:rsidRDefault="00000000">
      <w:pPr>
        <w:pStyle w:val="Heading2"/>
        <w:shd w:val="clear" w:color="auto" w:fill="014791"/>
        <w:divId w:val="213541687"/>
        <w:rPr>
          <w:rFonts w:eastAsia="Times New Roman"/>
          <w:color w:val="FFFFFF"/>
          <w:lang w:val="en"/>
        </w:rPr>
      </w:pPr>
      <w:r>
        <w:rPr>
          <w:rFonts w:eastAsia="Times New Roman"/>
          <w:color w:val="FFFFFF"/>
          <w:lang w:val="en"/>
        </w:rPr>
        <w:lastRenderedPageBreak/>
        <w:t>2. Executive Summary</w:t>
      </w:r>
    </w:p>
    <w:p w14:paraId="126B1443" w14:textId="77777777" w:rsidR="00000000" w:rsidRDefault="00000000">
      <w:pPr>
        <w:pStyle w:val="NormalWeb"/>
        <w:divId w:val="18358357"/>
        <w:rPr>
          <w:lang w:val="en"/>
        </w:rPr>
      </w:pPr>
      <w:r>
        <w:rPr>
          <w:lang w:val="en"/>
        </w:rPr>
        <w:t>A confidential human source with demonstrated reliability provided direct intelligence on Liberty Seekers Group planning a coordinated public disruption at major NYC transit hubs. Grand Central Terminal is confirmed as the primary target, with secondary preparatory actions in Penn Station. The event is scheduled over Labor Day weekend (August 30 – September 1, 2025), with operational focus on confusion and rapid crowd mobilization via encrypted social media.</w:t>
      </w:r>
    </w:p>
    <w:p w14:paraId="30F50D6E" w14:textId="77777777" w:rsidR="00000000" w:rsidRDefault="00000000">
      <w:pPr>
        <w:jc w:val="center"/>
        <w:divId w:val="1791777848"/>
        <w:rPr>
          <w:rFonts w:eastAsia="Times New Roman"/>
          <w:b/>
          <w:bCs/>
          <w:lang w:val="en"/>
        </w:rPr>
      </w:pPr>
      <w:r>
        <w:rPr>
          <w:rFonts w:eastAsia="Times New Roman"/>
          <w:b/>
          <w:bCs/>
          <w:lang w:val="en"/>
        </w:rPr>
        <w:t>UNCLASSIFIED//FOR OFFICIAL USE ONLY</w:t>
      </w:r>
    </w:p>
    <w:p w14:paraId="44110C8D" w14:textId="77777777" w:rsidR="00000000" w:rsidRDefault="00000000">
      <w:pPr>
        <w:jc w:val="center"/>
        <w:divId w:val="943072283"/>
        <w:rPr>
          <w:rFonts w:eastAsia="Times New Roman"/>
          <w:b/>
          <w:bCs/>
          <w:lang w:val="en"/>
        </w:rPr>
      </w:pPr>
      <w:r>
        <w:rPr>
          <w:rFonts w:eastAsia="Times New Roman"/>
          <w:b/>
          <w:bCs/>
          <w:lang w:val="en"/>
        </w:rPr>
        <w:t>UNCLASSIFIED//FOR OFFICIAL USE ONLY</w:t>
      </w:r>
    </w:p>
    <w:p w14:paraId="5D1B6406" w14:textId="77777777" w:rsidR="00000000" w:rsidRDefault="00000000">
      <w:pPr>
        <w:pStyle w:val="Heading2"/>
        <w:shd w:val="clear" w:color="auto" w:fill="014791"/>
        <w:divId w:val="913244658"/>
        <w:rPr>
          <w:rFonts w:eastAsia="Times New Roman"/>
          <w:color w:val="FFFFFF"/>
          <w:lang w:val="en"/>
        </w:rPr>
      </w:pPr>
      <w:r>
        <w:rPr>
          <w:rFonts w:eastAsia="Times New Roman"/>
          <w:color w:val="FFFFFF"/>
          <w:lang w:val="en"/>
        </w:rPr>
        <w:t>3. Source Description and Reliability</w:t>
      </w:r>
    </w:p>
    <w:p w14:paraId="7ED91C1C" w14:textId="77777777" w:rsidR="00000000" w:rsidRDefault="00000000">
      <w:pPr>
        <w:pStyle w:val="NormalWeb"/>
        <w:divId w:val="1054890060"/>
        <w:rPr>
          <w:lang w:val="en"/>
        </w:rPr>
      </w:pPr>
      <w:r>
        <w:rPr>
          <w:rStyle w:val="Strong"/>
          <w:lang w:val="en"/>
        </w:rPr>
        <w:t>Source Type:</w:t>
      </w:r>
      <w:r>
        <w:rPr>
          <w:lang w:val="en"/>
        </w:rPr>
        <w:t xml:space="preserve"> Confidential Human Source (CHS)</w:t>
      </w:r>
    </w:p>
    <w:p w14:paraId="6A184785" w14:textId="77777777" w:rsidR="00000000" w:rsidRDefault="00000000">
      <w:pPr>
        <w:pStyle w:val="NormalWeb"/>
        <w:divId w:val="1054890060"/>
        <w:rPr>
          <w:lang w:val="en"/>
        </w:rPr>
      </w:pPr>
      <w:r>
        <w:rPr>
          <w:rStyle w:val="Strong"/>
          <w:lang w:val="en"/>
        </w:rPr>
        <w:t>Assessment:</w:t>
      </w:r>
      <w:r>
        <w:rPr>
          <w:lang w:val="en"/>
        </w:rPr>
        <w:t xml:space="preserve"> Source repeatedly corroborated via closed case files, past court exhibits, and HUMINT crosschecks as recently as June 2025</w:t>
      </w:r>
    </w:p>
    <w:p w14:paraId="407CA1FE" w14:textId="77777777" w:rsidR="00000000" w:rsidRDefault="00000000">
      <w:pPr>
        <w:pStyle w:val="NormalWeb"/>
        <w:divId w:val="1054890060"/>
        <w:rPr>
          <w:lang w:val="en"/>
        </w:rPr>
      </w:pPr>
      <w:r>
        <w:rPr>
          <w:rStyle w:val="Strong"/>
          <w:lang w:val="en"/>
        </w:rPr>
        <w:t>Collection Method:</w:t>
      </w:r>
      <w:r>
        <w:rPr>
          <w:lang w:val="en"/>
        </w:rPr>
        <w:t xml:space="preserve"> Participated in encrypted virtual meetings (signal, wire, discord), post-event oral </w:t>
      </w:r>
      <w:proofErr w:type="gramStart"/>
      <w:r>
        <w:rPr>
          <w:lang w:val="en"/>
        </w:rPr>
        <w:t>debrief</w:t>
      </w:r>
      <w:proofErr w:type="gramEnd"/>
      <w:r>
        <w:rPr>
          <w:lang w:val="en"/>
        </w:rPr>
        <w:t>, and supplementary review of meeting logs and recruitment content</w:t>
      </w:r>
    </w:p>
    <w:p w14:paraId="085F5D9A" w14:textId="77777777" w:rsidR="00000000" w:rsidRDefault="00000000">
      <w:pPr>
        <w:pStyle w:val="NormalWeb"/>
        <w:divId w:val="1054890060"/>
        <w:rPr>
          <w:lang w:val="en"/>
        </w:rPr>
      </w:pPr>
      <w:r>
        <w:rPr>
          <w:rStyle w:val="Strong"/>
          <w:lang w:val="en"/>
        </w:rPr>
        <w:t>Peer Review:</w:t>
      </w:r>
      <w:r>
        <w:rPr>
          <w:lang w:val="en"/>
        </w:rPr>
        <w:t xml:space="preserve"> Product vetted through Intelligence Reporting System-Next Generation reviewer pool; all comments resolved prior to supervisory approval</w:t>
      </w:r>
    </w:p>
    <w:p w14:paraId="4D9685A2" w14:textId="77777777" w:rsidR="00000000" w:rsidRDefault="00000000">
      <w:pPr>
        <w:pStyle w:val="Heading2"/>
        <w:shd w:val="clear" w:color="auto" w:fill="014791"/>
        <w:divId w:val="639383485"/>
        <w:rPr>
          <w:rFonts w:eastAsia="Times New Roman"/>
          <w:color w:val="FFFFFF"/>
          <w:lang w:val="en"/>
        </w:rPr>
      </w:pPr>
      <w:r>
        <w:rPr>
          <w:rFonts w:eastAsia="Times New Roman"/>
          <w:color w:val="FFFFFF"/>
          <w:lang w:val="en"/>
        </w:rPr>
        <w:t>4. Detail / Full Narrative</w:t>
      </w:r>
    </w:p>
    <w:p w14:paraId="22916388" w14:textId="77777777" w:rsidR="00000000" w:rsidRDefault="00000000">
      <w:pPr>
        <w:pStyle w:val="Heading3"/>
        <w:divId w:val="1054890060"/>
        <w:rPr>
          <w:rFonts w:eastAsia="Times New Roman"/>
          <w:lang w:val="en"/>
        </w:rPr>
      </w:pPr>
      <w:r>
        <w:rPr>
          <w:rFonts w:eastAsia="Times New Roman"/>
          <w:lang w:val="en"/>
        </w:rPr>
        <w:t>Group Structure and Planning</w:t>
      </w:r>
    </w:p>
    <w:p w14:paraId="3EA41D6A" w14:textId="77777777" w:rsidR="00000000" w:rsidRDefault="00000000">
      <w:pPr>
        <w:numPr>
          <w:ilvl w:val="0"/>
          <w:numId w:val="1"/>
        </w:numPr>
        <w:spacing w:before="100" w:beforeAutospacing="1" w:after="90" w:line="240" w:lineRule="auto"/>
        <w:divId w:val="1054890060"/>
        <w:rPr>
          <w:rFonts w:eastAsia="Times New Roman"/>
          <w:lang w:val="en"/>
        </w:rPr>
      </w:pPr>
      <w:r>
        <w:rPr>
          <w:rFonts w:eastAsia="Times New Roman"/>
          <w:lang w:val="en"/>
        </w:rPr>
        <w:t>Three encrypted meetings conducted August 10–24, 2025; discussed logistics and operational steps</w:t>
      </w:r>
    </w:p>
    <w:p w14:paraId="39095083" w14:textId="77777777" w:rsidR="00000000" w:rsidRDefault="00000000">
      <w:pPr>
        <w:numPr>
          <w:ilvl w:val="0"/>
          <w:numId w:val="1"/>
        </w:numPr>
        <w:spacing w:before="100" w:beforeAutospacing="1" w:after="90" w:line="240" w:lineRule="auto"/>
        <w:divId w:val="1054890060"/>
        <w:rPr>
          <w:rFonts w:eastAsia="Times New Roman"/>
          <w:lang w:val="en"/>
        </w:rPr>
      </w:pPr>
      <w:r>
        <w:rPr>
          <w:rFonts w:eastAsia="Times New Roman"/>
          <w:lang w:val="en"/>
        </w:rPr>
        <w:t>A designated point of coordination identified as alias “Red Sparrow”; secondary coordinators interact through anonymized handles</w:t>
      </w:r>
    </w:p>
    <w:p w14:paraId="356285BC" w14:textId="77777777" w:rsidR="00000000" w:rsidRDefault="00000000">
      <w:pPr>
        <w:numPr>
          <w:ilvl w:val="0"/>
          <w:numId w:val="1"/>
        </w:numPr>
        <w:spacing w:before="100" w:beforeAutospacing="1" w:after="90" w:line="240" w:lineRule="auto"/>
        <w:divId w:val="1054890060"/>
        <w:rPr>
          <w:rFonts w:eastAsia="Times New Roman"/>
          <w:lang w:val="en"/>
        </w:rPr>
      </w:pPr>
      <w:r>
        <w:rPr>
          <w:rFonts w:eastAsia="Times New Roman"/>
          <w:lang w:val="en"/>
        </w:rPr>
        <w:t>Decentralized cells with 5–15 members; no full roster available, analysts estimate 75–125 overall participants</w:t>
      </w:r>
    </w:p>
    <w:p w14:paraId="1FB15677" w14:textId="77777777" w:rsidR="00000000" w:rsidRDefault="00000000">
      <w:pPr>
        <w:pStyle w:val="Heading3"/>
        <w:divId w:val="1054890060"/>
        <w:rPr>
          <w:rFonts w:eastAsia="Times New Roman"/>
          <w:lang w:val="en"/>
        </w:rPr>
      </w:pPr>
      <w:r>
        <w:rPr>
          <w:rFonts w:eastAsia="Times New Roman"/>
          <w:lang w:val="en"/>
        </w:rPr>
        <w:t>Operational Tactics</w:t>
      </w:r>
    </w:p>
    <w:p w14:paraId="714ECC8C" w14:textId="77777777" w:rsidR="00000000" w:rsidRDefault="00000000">
      <w:pPr>
        <w:numPr>
          <w:ilvl w:val="0"/>
          <w:numId w:val="2"/>
        </w:numPr>
        <w:spacing w:before="100" w:beforeAutospacing="1" w:after="90" w:line="240" w:lineRule="auto"/>
        <w:divId w:val="1054890060"/>
        <w:rPr>
          <w:rFonts w:eastAsia="Times New Roman"/>
          <w:lang w:val="en"/>
        </w:rPr>
      </w:pPr>
      <w:r>
        <w:rPr>
          <w:rFonts w:eastAsia="Times New Roman"/>
          <w:lang w:val="en"/>
        </w:rPr>
        <w:t>Event centers on “simultaneous crowd surge” at Grand Central with timed support actions at Penn Station and other major subway interchanges</w:t>
      </w:r>
    </w:p>
    <w:p w14:paraId="770A1556" w14:textId="77777777" w:rsidR="00000000" w:rsidRDefault="00000000">
      <w:pPr>
        <w:numPr>
          <w:ilvl w:val="0"/>
          <w:numId w:val="2"/>
        </w:numPr>
        <w:spacing w:before="100" w:beforeAutospacing="1" w:after="90" w:line="240" w:lineRule="auto"/>
        <w:divId w:val="1054890060"/>
        <w:rPr>
          <w:rFonts w:eastAsia="Times New Roman"/>
          <w:lang w:val="en"/>
        </w:rPr>
      </w:pPr>
      <w:r>
        <w:rPr>
          <w:rFonts w:eastAsia="Times New Roman"/>
          <w:lang w:val="en"/>
        </w:rPr>
        <w:lastRenderedPageBreak/>
        <w:t>Use of smoke devices purchased in bulk through third-party e-commerce sites, paid via cryptocurrency and anonymized accounts</w:t>
      </w:r>
    </w:p>
    <w:p w14:paraId="58E17575" w14:textId="77777777" w:rsidR="00000000" w:rsidRDefault="00000000">
      <w:pPr>
        <w:numPr>
          <w:ilvl w:val="0"/>
          <w:numId w:val="2"/>
        </w:numPr>
        <w:spacing w:before="100" w:beforeAutospacing="1" w:after="90" w:line="240" w:lineRule="auto"/>
        <w:divId w:val="1054890060"/>
        <w:rPr>
          <w:rFonts w:eastAsia="Times New Roman"/>
          <w:lang w:val="en"/>
        </w:rPr>
      </w:pPr>
      <w:r>
        <w:rPr>
          <w:rFonts w:eastAsia="Times New Roman"/>
          <w:lang w:val="en"/>
        </w:rPr>
        <w:t>Recruitment targets are transit commuters, with digital QR flyers distributed in advance via encrypted, geotargeted drop</w:t>
      </w:r>
    </w:p>
    <w:p w14:paraId="5C63F506" w14:textId="77777777" w:rsidR="00000000" w:rsidRDefault="00000000">
      <w:pPr>
        <w:numPr>
          <w:ilvl w:val="0"/>
          <w:numId w:val="2"/>
        </w:numPr>
        <w:spacing w:before="100" w:beforeAutospacing="1" w:after="90" w:line="240" w:lineRule="auto"/>
        <w:divId w:val="1054890060"/>
        <w:rPr>
          <w:rFonts w:eastAsia="Times New Roman"/>
          <w:lang w:val="en"/>
        </w:rPr>
      </w:pPr>
      <w:r>
        <w:rPr>
          <w:rFonts w:eastAsia="Times New Roman"/>
          <w:lang w:val="en"/>
        </w:rPr>
        <w:t>Mobilization scheduled for high-volume windows (morning and evening rush hours), with contingency schedule if security posture changes</w:t>
      </w:r>
    </w:p>
    <w:p w14:paraId="01BBDA20" w14:textId="77777777" w:rsidR="00000000" w:rsidRDefault="00000000">
      <w:pPr>
        <w:spacing w:after="0"/>
        <w:jc w:val="center"/>
        <w:divId w:val="154077706"/>
        <w:rPr>
          <w:rFonts w:eastAsia="Times New Roman"/>
          <w:b/>
          <w:bCs/>
          <w:lang w:val="en"/>
        </w:rPr>
      </w:pPr>
      <w:r>
        <w:rPr>
          <w:rFonts w:eastAsia="Times New Roman"/>
          <w:b/>
          <w:bCs/>
          <w:lang w:val="en"/>
        </w:rPr>
        <w:t>UNCLASSIFIED//FOR OFFICIAL USE ONLY</w:t>
      </w:r>
    </w:p>
    <w:p w14:paraId="1EABA32B" w14:textId="77777777" w:rsidR="00000000" w:rsidRDefault="00000000">
      <w:pPr>
        <w:jc w:val="center"/>
        <w:divId w:val="1620070443"/>
        <w:rPr>
          <w:rFonts w:eastAsia="Times New Roman"/>
          <w:b/>
          <w:bCs/>
          <w:lang w:val="en"/>
        </w:rPr>
      </w:pPr>
      <w:r>
        <w:rPr>
          <w:rFonts w:eastAsia="Times New Roman"/>
          <w:b/>
          <w:bCs/>
          <w:lang w:val="en"/>
        </w:rPr>
        <w:t>UNCLASSIFIED//FOR OFFICIAL USE ONLY</w:t>
      </w:r>
    </w:p>
    <w:p w14:paraId="399F5C2D" w14:textId="77777777" w:rsidR="00000000" w:rsidRDefault="00000000">
      <w:pPr>
        <w:pStyle w:val="Heading3"/>
        <w:divId w:val="1335839670"/>
        <w:rPr>
          <w:rFonts w:eastAsia="Times New Roman"/>
          <w:lang w:val="en"/>
        </w:rPr>
      </w:pPr>
      <w:r>
        <w:rPr>
          <w:rFonts w:eastAsia="Times New Roman"/>
          <w:lang w:val="en"/>
        </w:rPr>
        <w:t>Communications Security and Countermeasures</w:t>
      </w:r>
    </w:p>
    <w:p w14:paraId="319FF3A1" w14:textId="77777777" w:rsidR="00000000" w:rsidRDefault="00000000">
      <w:pPr>
        <w:numPr>
          <w:ilvl w:val="0"/>
          <w:numId w:val="3"/>
        </w:numPr>
        <w:spacing w:before="100" w:beforeAutospacing="1" w:after="90" w:line="240" w:lineRule="auto"/>
        <w:divId w:val="1335839670"/>
        <w:rPr>
          <w:rFonts w:eastAsia="Times New Roman"/>
          <w:lang w:val="en"/>
        </w:rPr>
      </w:pPr>
      <w:r>
        <w:rPr>
          <w:rFonts w:eastAsia="Times New Roman"/>
          <w:lang w:val="en"/>
        </w:rPr>
        <w:t>Group uses rotating credentials, segmented chat rooms, “plausibly deniable” role assignments</w:t>
      </w:r>
    </w:p>
    <w:p w14:paraId="605233B0" w14:textId="77777777" w:rsidR="00000000" w:rsidRDefault="00000000">
      <w:pPr>
        <w:numPr>
          <w:ilvl w:val="0"/>
          <w:numId w:val="3"/>
        </w:numPr>
        <w:spacing w:before="100" w:beforeAutospacing="1" w:after="90" w:line="240" w:lineRule="auto"/>
        <w:divId w:val="1335839670"/>
        <w:rPr>
          <w:rFonts w:eastAsia="Times New Roman"/>
          <w:lang w:val="en"/>
        </w:rPr>
      </w:pPr>
      <w:r>
        <w:rPr>
          <w:rFonts w:eastAsia="Times New Roman"/>
          <w:lang w:val="en"/>
        </w:rPr>
        <w:t>Communications shielded by VPNs, steganographic attachments, and ad hoc emergency codes for aborting actions</w:t>
      </w:r>
    </w:p>
    <w:p w14:paraId="4C95DCB9" w14:textId="77777777" w:rsidR="00000000" w:rsidRDefault="00000000">
      <w:pPr>
        <w:pStyle w:val="Heading3"/>
        <w:divId w:val="1335839670"/>
        <w:rPr>
          <w:rFonts w:eastAsia="Times New Roman"/>
          <w:lang w:val="en"/>
        </w:rPr>
      </w:pPr>
      <w:r>
        <w:rPr>
          <w:rFonts w:eastAsia="Times New Roman"/>
          <w:lang w:val="en"/>
        </w:rPr>
        <w:t>Link Analysis</w:t>
      </w:r>
    </w:p>
    <w:p w14:paraId="2C4193BA" w14:textId="77777777" w:rsidR="00000000" w:rsidRDefault="00000000">
      <w:pPr>
        <w:numPr>
          <w:ilvl w:val="0"/>
          <w:numId w:val="4"/>
        </w:numPr>
        <w:spacing w:before="100" w:beforeAutospacing="1" w:after="90" w:line="240" w:lineRule="auto"/>
        <w:divId w:val="1335839670"/>
        <w:rPr>
          <w:rFonts w:eastAsia="Times New Roman"/>
          <w:lang w:val="en"/>
        </w:rPr>
      </w:pPr>
      <w:r>
        <w:rPr>
          <w:rFonts w:eastAsia="Times New Roman"/>
          <w:lang w:val="en"/>
        </w:rPr>
        <w:t>Preliminary link analysis indicates potential ties to regional advocacy networks from prior GCT-related events (2019, 2023)</w:t>
      </w:r>
    </w:p>
    <w:p w14:paraId="6ACD1D56" w14:textId="77777777" w:rsidR="00000000" w:rsidRDefault="00000000">
      <w:pPr>
        <w:numPr>
          <w:ilvl w:val="0"/>
          <w:numId w:val="4"/>
        </w:numPr>
        <w:spacing w:before="100" w:beforeAutospacing="1" w:after="90" w:line="240" w:lineRule="auto"/>
        <w:divId w:val="1335839670"/>
        <w:rPr>
          <w:rFonts w:eastAsia="Times New Roman"/>
          <w:lang w:val="en"/>
        </w:rPr>
      </w:pPr>
      <w:r>
        <w:rPr>
          <w:rFonts w:eastAsia="Times New Roman"/>
          <w:lang w:val="en"/>
        </w:rPr>
        <w:t>Weak but notable digital spatial overlap between group members and other known protest planners</w:t>
      </w:r>
    </w:p>
    <w:p w14:paraId="59EB531E" w14:textId="77777777" w:rsidR="00000000" w:rsidRDefault="00000000">
      <w:pPr>
        <w:pStyle w:val="Heading3"/>
        <w:divId w:val="1335839670"/>
        <w:rPr>
          <w:rFonts w:eastAsia="Times New Roman"/>
          <w:lang w:val="en"/>
        </w:rPr>
      </w:pPr>
      <w:r>
        <w:rPr>
          <w:rFonts w:eastAsia="Times New Roman"/>
          <w:lang w:val="en"/>
        </w:rPr>
        <w:t>Operational Vulnerabilities</w:t>
      </w:r>
    </w:p>
    <w:p w14:paraId="33E08EE0" w14:textId="77777777" w:rsidR="00000000" w:rsidRDefault="00000000">
      <w:pPr>
        <w:numPr>
          <w:ilvl w:val="0"/>
          <w:numId w:val="5"/>
        </w:numPr>
        <w:spacing w:before="100" w:beforeAutospacing="1" w:after="90" w:line="240" w:lineRule="auto"/>
        <w:divId w:val="1335839670"/>
        <w:rPr>
          <w:rFonts w:eastAsia="Times New Roman"/>
          <w:lang w:val="en"/>
        </w:rPr>
      </w:pPr>
      <w:r>
        <w:rPr>
          <w:rFonts w:eastAsia="Times New Roman"/>
          <w:lang w:val="en"/>
        </w:rPr>
        <w:t>Reliance on central “Red Sparrow” coordination increases risk for disruption if identified; recommended intensive HUMINT and digital tracking</w:t>
      </w:r>
    </w:p>
    <w:p w14:paraId="48D5ED35" w14:textId="77777777" w:rsidR="00000000" w:rsidRDefault="00000000">
      <w:pPr>
        <w:numPr>
          <w:ilvl w:val="0"/>
          <w:numId w:val="5"/>
        </w:numPr>
        <w:spacing w:before="100" w:beforeAutospacing="1" w:after="90" w:line="240" w:lineRule="auto"/>
        <w:divId w:val="1335839670"/>
        <w:rPr>
          <w:rFonts w:eastAsia="Times New Roman"/>
          <w:lang w:val="en"/>
        </w:rPr>
      </w:pPr>
      <w:r>
        <w:rPr>
          <w:rFonts w:eastAsia="Times New Roman"/>
          <w:lang w:val="en"/>
        </w:rPr>
        <w:t>Purchased smoke devices have uniform SKU numbers, facilitating possible e-commerce tracing</w:t>
      </w:r>
    </w:p>
    <w:p w14:paraId="51F9EF2E" w14:textId="77777777" w:rsidR="00000000" w:rsidRDefault="00000000">
      <w:pPr>
        <w:numPr>
          <w:ilvl w:val="0"/>
          <w:numId w:val="5"/>
        </w:numPr>
        <w:spacing w:before="100" w:beforeAutospacing="1" w:after="90" w:line="240" w:lineRule="auto"/>
        <w:divId w:val="1335839670"/>
        <w:rPr>
          <w:rFonts w:eastAsia="Times New Roman"/>
          <w:lang w:val="en"/>
        </w:rPr>
      </w:pPr>
      <w:r>
        <w:rPr>
          <w:rFonts w:eastAsia="Times New Roman"/>
          <w:lang w:val="en"/>
        </w:rPr>
        <w:t>QR recruitment materials can potentially be intercepted and flagged prior to event</w:t>
      </w:r>
    </w:p>
    <w:p w14:paraId="7C59AB3F" w14:textId="77777777" w:rsidR="00000000" w:rsidRDefault="00000000">
      <w:pPr>
        <w:spacing w:after="0"/>
        <w:jc w:val="center"/>
        <w:divId w:val="229925343"/>
        <w:rPr>
          <w:rFonts w:eastAsia="Times New Roman"/>
          <w:b/>
          <w:bCs/>
          <w:lang w:val="en"/>
        </w:rPr>
      </w:pPr>
      <w:r>
        <w:rPr>
          <w:rFonts w:eastAsia="Times New Roman"/>
          <w:b/>
          <w:bCs/>
          <w:lang w:val="en"/>
        </w:rPr>
        <w:t>UNCLASSIFIED//FOR OFFICIAL USE ONLY</w:t>
      </w:r>
    </w:p>
    <w:p w14:paraId="170B938A" w14:textId="77777777" w:rsidR="00000000" w:rsidRDefault="00000000">
      <w:pPr>
        <w:jc w:val="center"/>
        <w:divId w:val="1521814333"/>
        <w:rPr>
          <w:rFonts w:eastAsia="Times New Roman"/>
          <w:b/>
          <w:bCs/>
          <w:lang w:val="en"/>
        </w:rPr>
      </w:pPr>
      <w:r>
        <w:rPr>
          <w:rFonts w:eastAsia="Times New Roman"/>
          <w:b/>
          <w:bCs/>
          <w:lang w:val="en"/>
        </w:rPr>
        <w:t>UNCLASSIFIED//FOR OFFICIAL USE ONLY</w:t>
      </w:r>
    </w:p>
    <w:p w14:paraId="3227CE28" w14:textId="77777777" w:rsidR="00000000" w:rsidRDefault="00000000">
      <w:pPr>
        <w:pStyle w:val="Heading2"/>
        <w:shd w:val="clear" w:color="auto" w:fill="014791"/>
        <w:divId w:val="459543656"/>
        <w:rPr>
          <w:rFonts w:eastAsia="Times New Roman"/>
          <w:color w:val="FFFFFF"/>
          <w:lang w:val="en"/>
        </w:rPr>
      </w:pPr>
      <w:r>
        <w:rPr>
          <w:rFonts w:eastAsia="Times New Roman"/>
          <w:color w:val="FFFFFF"/>
          <w:lang w:val="en"/>
        </w:rPr>
        <w:t>5. Analysis &amp; Evaluation</w:t>
      </w:r>
    </w:p>
    <w:p w14:paraId="3C1C90C6" w14:textId="77777777" w:rsidR="00000000" w:rsidRDefault="00000000">
      <w:pPr>
        <w:pStyle w:val="NormalWeb"/>
        <w:divId w:val="347408440"/>
        <w:rPr>
          <w:lang w:val="en"/>
        </w:rPr>
      </w:pPr>
      <w:r>
        <w:rPr>
          <w:rStyle w:val="Strong"/>
          <w:lang w:val="en"/>
        </w:rPr>
        <w:lastRenderedPageBreak/>
        <w:t>Likelihood of Success:</w:t>
      </w:r>
      <w:r>
        <w:rPr>
          <w:lang w:val="en"/>
        </w:rPr>
        <w:t xml:space="preserve"> Moderately high for operational confusion, lower for sustained disruption; historic group mobilizations tend to be short-lived (20–40 minutes per incident)</w:t>
      </w:r>
    </w:p>
    <w:p w14:paraId="2EEAD745" w14:textId="77777777" w:rsidR="00000000" w:rsidRDefault="00000000">
      <w:pPr>
        <w:pStyle w:val="NormalWeb"/>
        <w:divId w:val="347408440"/>
        <w:rPr>
          <w:lang w:val="en"/>
        </w:rPr>
      </w:pPr>
      <w:r>
        <w:rPr>
          <w:rStyle w:val="Strong"/>
          <w:lang w:val="en"/>
        </w:rPr>
        <w:t>Direct Threat Assessment:</w:t>
      </w:r>
      <w:r>
        <w:rPr>
          <w:lang w:val="en"/>
        </w:rPr>
        <w:t xml:space="preserve"> No credible evidence of planned violence or terrorism as of August 27, 2025; continuous monitoring required</w:t>
      </w:r>
    </w:p>
    <w:p w14:paraId="025135A8" w14:textId="77777777" w:rsidR="00000000" w:rsidRDefault="00000000">
      <w:pPr>
        <w:pStyle w:val="NormalWeb"/>
        <w:divId w:val="347408440"/>
        <w:rPr>
          <w:lang w:val="en"/>
        </w:rPr>
      </w:pPr>
      <w:r>
        <w:rPr>
          <w:rStyle w:val="Strong"/>
          <w:lang w:val="en"/>
        </w:rPr>
        <w:t>Infrastructure Impact:</w:t>
      </w:r>
      <w:r>
        <w:rPr>
          <w:lang w:val="en"/>
        </w:rPr>
        <w:t xml:space="preserve"> Potential delays and confusions in commuter schedules, increased workload for emergency services, temporary loss of situational control at targeted nodes</w:t>
      </w:r>
    </w:p>
    <w:p w14:paraId="00841B5E" w14:textId="77777777" w:rsidR="00000000" w:rsidRDefault="00000000">
      <w:pPr>
        <w:pStyle w:val="Heading3"/>
        <w:divId w:val="347408440"/>
        <w:rPr>
          <w:rFonts w:eastAsia="Times New Roman"/>
          <w:lang w:val="en"/>
        </w:rPr>
      </w:pPr>
      <w:r>
        <w:rPr>
          <w:rFonts w:eastAsia="Times New Roman"/>
          <w:lang w:val="en"/>
        </w:rPr>
        <w:t>Law Enforcement Recommendations:</w:t>
      </w:r>
    </w:p>
    <w:p w14:paraId="671A9481" w14:textId="77777777" w:rsidR="00000000" w:rsidRDefault="00000000">
      <w:pPr>
        <w:numPr>
          <w:ilvl w:val="0"/>
          <w:numId w:val="6"/>
        </w:numPr>
        <w:spacing w:before="100" w:beforeAutospacing="1" w:after="90" w:line="240" w:lineRule="auto"/>
        <w:divId w:val="347408440"/>
        <w:rPr>
          <w:rFonts w:eastAsia="Times New Roman"/>
          <w:lang w:val="en"/>
        </w:rPr>
      </w:pPr>
      <w:r>
        <w:rPr>
          <w:rFonts w:eastAsia="Times New Roman"/>
          <w:lang w:val="en"/>
        </w:rPr>
        <w:t>Deploy visible and rapid-response police assets at all identified access points</w:t>
      </w:r>
    </w:p>
    <w:p w14:paraId="01C001E9" w14:textId="77777777" w:rsidR="00000000" w:rsidRDefault="00000000">
      <w:pPr>
        <w:numPr>
          <w:ilvl w:val="0"/>
          <w:numId w:val="6"/>
        </w:numPr>
        <w:spacing w:before="100" w:beforeAutospacing="1" w:after="90" w:line="240" w:lineRule="auto"/>
        <w:divId w:val="347408440"/>
        <w:rPr>
          <w:rFonts w:eastAsia="Times New Roman"/>
          <w:lang w:val="en"/>
        </w:rPr>
      </w:pPr>
      <w:r>
        <w:rPr>
          <w:rFonts w:eastAsia="Times New Roman"/>
          <w:lang w:val="en"/>
        </w:rPr>
        <w:t>Initiate real-time digital and OSINT monitoring from August 29 onward</w:t>
      </w:r>
    </w:p>
    <w:p w14:paraId="3E160157" w14:textId="77777777" w:rsidR="00000000" w:rsidRDefault="00000000">
      <w:pPr>
        <w:numPr>
          <w:ilvl w:val="0"/>
          <w:numId w:val="6"/>
        </w:numPr>
        <w:spacing w:before="100" w:beforeAutospacing="1" w:after="90" w:line="240" w:lineRule="auto"/>
        <w:divId w:val="347408440"/>
        <w:rPr>
          <w:rFonts w:eastAsia="Times New Roman"/>
          <w:lang w:val="en"/>
        </w:rPr>
      </w:pPr>
      <w:r>
        <w:rPr>
          <w:rFonts w:eastAsia="Times New Roman"/>
          <w:lang w:val="en"/>
        </w:rPr>
        <w:t>Secure coordination lines with MTA signal teams to preempt or quickly manage false disruption alarms</w:t>
      </w:r>
    </w:p>
    <w:p w14:paraId="6D3E3B33" w14:textId="77777777" w:rsidR="00000000" w:rsidRDefault="00000000">
      <w:pPr>
        <w:numPr>
          <w:ilvl w:val="0"/>
          <w:numId w:val="6"/>
        </w:numPr>
        <w:spacing w:before="100" w:beforeAutospacing="1" w:after="90" w:line="240" w:lineRule="auto"/>
        <w:divId w:val="347408440"/>
        <w:rPr>
          <w:rFonts w:eastAsia="Times New Roman"/>
          <w:lang w:val="en"/>
        </w:rPr>
      </w:pPr>
      <w:r>
        <w:rPr>
          <w:rFonts w:eastAsia="Times New Roman"/>
          <w:lang w:val="en"/>
        </w:rPr>
        <w:t>Prioritize HUMINT/OSINT tasking on “Red Sparrow” digital activities</w:t>
      </w:r>
    </w:p>
    <w:p w14:paraId="07720725" w14:textId="77777777" w:rsidR="00000000" w:rsidRDefault="00000000">
      <w:pPr>
        <w:spacing w:after="0"/>
        <w:jc w:val="center"/>
        <w:divId w:val="913398474"/>
        <w:rPr>
          <w:rFonts w:eastAsia="Times New Roman"/>
          <w:b/>
          <w:bCs/>
          <w:lang w:val="en"/>
        </w:rPr>
      </w:pPr>
      <w:r>
        <w:rPr>
          <w:rFonts w:eastAsia="Times New Roman"/>
          <w:b/>
          <w:bCs/>
          <w:lang w:val="en"/>
        </w:rPr>
        <w:t>UNCLASSIFIED//FOR OFFICIAL USE ONLY</w:t>
      </w:r>
    </w:p>
    <w:p w14:paraId="3C88D468" w14:textId="77777777" w:rsidR="00000000" w:rsidRDefault="00000000">
      <w:pPr>
        <w:jc w:val="center"/>
        <w:divId w:val="881140489"/>
        <w:rPr>
          <w:rFonts w:eastAsia="Times New Roman"/>
          <w:b/>
          <w:bCs/>
          <w:lang w:val="en"/>
        </w:rPr>
      </w:pPr>
      <w:r>
        <w:rPr>
          <w:rFonts w:eastAsia="Times New Roman"/>
          <w:b/>
          <w:bCs/>
          <w:lang w:val="en"/>
        </w:rPr>
        <w:t>UNCLASSIFIED//FOR OFFICIAL USE ONLY</w:t>
      </w:r>
    </w:p>
    <w:p w14:paraId="68497BEF" w14:textId="77777777" w:rsidR="00000000" w:rsidRDefault="00000000">
      <w:pPr>
        <w:pStyle w:val="Heading2"/>
        <w:shd w:val="clear" w:color="auto" w:fill="014791"/>
        <w:divId w:val="492910702"/>
        <w:rPr>
          <w:rFonts w:eastAsia="Times New Roman"/>
          <w:color w:val="FFFFFF"/>
          <w:lang w:val="en"/>
        </w:rPr>
      </w:pPr>
      <w:r>
        <w:rPr>
          <w:rFonts w:eastAsia="Times New Roman"/>
          <w:color w:val="FFFFFF"/>
          <w:lang w:val="en"/>
        </w:rPr>
        <w:t>6. Compliance, Privacy, and Retention Notes</w:t>
      </w:r>
    </w:p>
    <w:p w14:paraId="66247E14" w14:textId="77777777" w:rsidR="00000000" w:rsidRDefault="00000000">
      <w:pPr>
        <w:numPr>
          <w:ilvl w:val="0"/>
          <w:numId w:val="7"/>
        </w:numPr>
        <w:spacing w:before="100" w:beforeAutospacing="1" w:after="90" w:line="240" w:lineRule="auto"/>
        <w:divId w:val="1239172721"/>
        <w:rPr>
          <w:rFonts w:eastAsia="Times New Roman"/>
          <w:lang w:val="en"/>
        </w:rPr>
      </w:pPr>
      <w:r>
        <w:rPr>
          <w:rFonts w:eastAsia="Times New Roman"/>
          <w:lang w:val="en"/>
        </w:rPr>
        <w:t>All data handling remains compliant with the Privacy Act of 1974, with further minimization and dissemination per Law Enforcement Sensitive protocols</w:t>
      </w:r>
    </w:p>
    <w:p w14:paraId="2105A194" w14:textId="77777777" w:rsidR="00000000" w:rsidRDefault="00000000">
      <w:pPr>
        <w:numPr>
          <w:ilvl w:val="0"/>
          <w:numId w:val="7"/>
        </w:numPr>
        <w:spacing w:before="100" w:beforeAutospacing="1" w:after="90" w:line="240" w:lineRule="auto"/>
        <w:divId w:val="1239172721"/>
        <w:rPr>
          <w:rFonts w:eastAsia="Times New Roman"/>
          <w:lang w:val="en"/>
        </w:rPr>
      </w:pPr>
      <w:r>
        <w:rPr>
          <w:rFonts w:eastAsia="Times New Roman"/>
          <w:lang w:val="en"/>
        </w:rPr>
        <w:t>No unnecessary personally identifiable information (PII) retained; peer and supervisory review completed prior to release</w:t>
      </w:r>
    </w:p>
    <w:p w14:paraId="70147C36" w14:textId="77777777" w:rsidR="00000000" w:rsidRDefault="00000000">
      <w:pPr>
        <w:numPr>
          <w:ilvl w:val="0"/>
          <w:numId w:val="7"/>
        </w:numPr>
        <w:spacing w:before="100" w:beforeAutospacing="1" w:after="90" w:line="240" w:lineRule="auto"/>
        <w:divId w:val="1239172721"/>
        <w:rPr>
          <w:rFonts w:eastAsia="Times New Roman"/>
          <w:lang w:val="en"/>
        </w:rPr>
      </w:pPr>
      <w:r>
        <w:rPr>
          <w:rFonts w:eastAsia="Times New Roman"/>
          <w:lang w:val="en"/>
        </w:rPr>
        <w:t>Raw reporting files maintained for thirty years, as per current DOJ and DHS/CBP reporting SORN</w:t>
      </w:r>
    </w:p>
    <w:p w14:paraId="5CEE0E77" w14:textId="77777777" w:rsidR="00000000" w:rsidRDefault="00000000">
      <w:pPr>
        <w:pStyle w:val="Heading2"/>
        <w:shd w:val="clear" w:color="auto" w:fill="014791"/>
        <w:divId w:val="2013799363"/>
        <w:rPr>
          <w:rFonts w:eastAsia="Times New Roman"/>
          <w:color w:val="FFFFFF"/>
          <w:lang w:val="en"/>
        </w:rPr>
      </w:pPr>
      <w:r>
        <w:rPr>
          <w:rFonts w:eastAsia="Times New Roman"/>
          <w:color w:val="FFFFFF"/>
          <w:lang w:val="en"/>
        </w:rPr>
        <w:t>7. Dissemination</w:t>
      </w:r>
    </w:p>
    <w:p w14:paraId="33ADC5D2" w14:textId="77777777" w:rsidR="00000000" w:rsidRDefault="00000000">
      <w:pPr>
        <w:pStyle w:val="NormalWeb"/>
        <w:divId w:val="1239172721"/>
        <w:rPr>
          <w:lang w:val="en"/>
        </w:rPr>
      </w:pPr>
      <w:r>
        <w:rPr>
          <w:rStyle w:val="Strong"/>
          <w:lang w:val="en"/>
        </w:rPr>
        <w:t>Recipients:</w:t>
      </w:r>
      <w:r>
        <w:rPr>
          <w:lang w:val="en"/>
        </w:rPr>
        <w:t xml:space="preserve"> FBI Counterterrorism Division, NYPD Intelligence Bureau, DHS Office of Intelligence &amp; Analysis, MTA Security, JTTF New York</w:t>
      </w:r>
    </w:p>
    <w:p w14:paraId="2C8AD3EB" w14:textId="77777777" w:rsidR="00000000" w:rsidRDefault="00000000">
      <w:pPr>
        <w:pStyle w:val="NormalWeb"/>
        <w:divId w:val="1239172721"/>
        <w:rPr>
          <w:lang w:val="en"/>
        </w:rPr>
      </w:pPr>
      <w:r>
        <w:rPr>
          <w:rStyle w:val="Strong"/>
          <w:lang w:val="en"/>
        </w:rPr>
        <w:t>Distribution Method:</w:t>
      </w:r>
      <w:r>
        <w:rPr>
          <w:lang w:val="en"/>
        </w:rPr>
        <w:t xml:space="preserve"> Secure system broadcast, verified access controls</w:t>
      </w:r>
    </w:p>
    <w:p w14:paraId="64F0B4E9" w14:textId="77777777" w:rsidR="00000000" w:rsidRDefault="00000000">
      <w:pPr>
        <w:pStyle w:val="NormalWeb"/>
        <w:divId w:val="1239172721"/>
        <w:rPr>
          <w:lang w:val="en"/>
        </w:rPr>
      </w:pPr>
      <w:r>
        <w:rPr>
          <w:rStyle w:val="Strong"/>
          <w:lang w:val="en"/>
        </w:rPr>
        <w:t>Feedback Requirements:</w:t>
      </w:r>
      <w:r>
        <w:rPr>
          <w:lang w:val="en"/>
        </w:rPr>
        <w:t xml:space="preserve"> Recipients must report corroborative or contradictory observations within seven days; feedback logged in Intelligence Reporting System-Next Generation workspace</w:t>
      </w:r>
    </w:p>
    <w:p w14:paraId="015946FC" w14:textId="77777777" w:rsidR="00000000" w:rsidRDefault="00000000">
      <w:pPr>
        <w:pStyle w:val="Heading2"/>
        <w:shd w:val="clear" w:color="auto" w:fill="014791"/>
        <w:divId w:val="210576727"/>
        <w:rPr>
          <w:rFonts w:eastAsia="Times New Roman"/>
          <w:color w:val="FFFFFF"/>
          <w:lang w:val="en"/>
        </w:rPr>
      </w:pPr>
      <w:r>
        <w:rPr>
          <w:rFonts w:eastAsia="Times New Roman"/>
          <w:color w:val="FFFFFF"/>
          <w:lang w:val="en"/>
        </w:rPr>
        <w:lastRenderedPageBreak/>
        <w:t>8. Administrative Notes</w:t>
      </w:r>
    </w:p>
    <w:p w14:paraId="5904DA15" w14:textId="77777777" w:rsidR="00000000" w:rsidRDefault="00000000">
      <w:pPr>
        <w:numPr>
          <w:ilvl w:val="0"/>
          <w:numId w:val="8"/>
        </w:numPr>
        <w:spacing w:before="100" w:beforeAutospacing="1" w:after="90" w:line="240" w:lineRule="auto"/>
        <w:divId w:val="1239172721"/>
        <w:rPr>
          <w:rFonts w:eastAsia="Times New Roman"/>
          <w:lang w:val="en"/>
        </w:rPr>
      </w:pPr>
      <w:r>
        <w:rPr>
          <w:rFonts w:eastAsia="Times New Roman"/>
          <w:lang w:val="en"/>
        </w:rPr>
        <w:t>Consult the most recent FBI IIR Handbook and applicable DOJ/NARA records schedules for further administrative detail</w:t>
      </w:r>
    </w:p>
    <w:p w14:paraId="2A2F3BBC" w14:textId="77777777" w:rsidR="00000000" w:rsidRDefault="00000000">
      <w:pPr>
        <w:numPr>
          <w:ilvl w:val="0"/>
          <w:numId w:val="8"/>
        </w:numPr>
        <w:spacing w:before="100" w:beforeAutospacing="1" w:after="90" w:line="240" w:lineRule="auto"/>
        <w:divId w:val="1239172721"/>
        <w:rPr>
          <w:rFonts w:eastAsia="Times New Roman"/>
          <w:lang w:val="en"/>
        </w:rPr>
      </w:pPr>
      <w:r>
        <w:rPr>
          <w:rFonts w:eastAsia="Times New Roman"/>
          <w:lang w:val="en"/>
        </w:rPr>
        <w:t>All drafts and comments preserved within collaborative workspace per federal guidance</w:t>
      </w:r>
    </w:p>
    <w:p w14:paraId="71137402" w14:textId="77777777" w:rsidR="00000000" w:rsidRDefault="00000000">
      <w:pPr>
        <w:numPr>
          <w:ilvl w:val="0"/>
          <w:numId w:val="8"/>
        </w:numPr>
        <w:spacing w:before="100" w:beforeAutospacing="1" w:after="90" w:line="240" w:lineRule="auto"/>
        <w:divId w:val="1239172721"/>
        <w:rPr>
          <w:rFonts w:eastAsia="Times New Roman"/>
          <w:lang w:val="en"/>
        </w:rPr>
      </w:pPr>
      <w:r>
        <w:rPr>
          <w:rFonts w:eastAsia="Times New Roman"/>
          <w:lang w:val="en"/>
        </w:rPr>
        <w:t>Queries or revision suggestions to be addressed through FBI New York Field Intelligence Group coordinator</w:t>
      </w:r>
    </w:p>
    <w:p w14:paraId="12567354" w14:textId="77777777" w:rsidR="00A85E49" w:rsidRDefault="00000000">
      <w:pPr>
        <w:spacing w:after="0"/>
        <w:jc w:val="center"/>
        <w:divId w:val="1868912104"/>
        <w:rPr>
          <w:rFonts w:eastAsia="Times New Roman"/>
          <w:b/>
          <w:bCs/>
          <w:lang w:val="en"/>
        </w:rPr>
      </w:pPr>
      <w:r>
        <w:rPr>
          <w:rFonts w:eastAsia="Times New Roman"/>
          <w:b/>
          <w:bCs/>
          <w:lang w:val="en"/>
        </w:rPr>
        <w:t>UNCLASSIFIED//FOR OFFICIAL USE ONLY</w:t>
      </w:r>
    </w:p>
    <w:sectPr w:rsidR="00A85E4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85996"/>
    <w:multiLevelType w:val="multilevel"/>
    <w:tmpl w:val="196C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7E4FED"/>
    <w:multiLevelType w:val="multilevel"/>
    <w:tmpl w:val="EDA4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7F7955"/>
    <w:multiLevelType w:val="multilevel"/>
    <w:tmpl w:val="2754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800C5A"/>
    <w:multiLevelType w:val="multilevel"/>
    <w:tmpl w:val="341E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CB1122"/>
    <w:multiLevelType w:val="multilevel"/>
    <w:tmpl w:val="CBD4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9E1E34"/>
    <w:multiLevelType w:val="multilevel"/>
    <w:tmpl w:val="ED4A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8065FC"/>
    <w:multiLevelType w:val="multilevel"/>
    <w:tmpl w:val="89AC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0C5AC9"/>
    <w:multiLevelType w:val="multilevel"/>
    <w:tmpl w:val="546A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9229341">
    <w:abstractNumId w:val="5"/>
  </w:num>
  <w:num w:numId="2" w16cid:durableId="718015665">
    <w:abstractNumId w:val="4"/>
  </w:num>
  <w:num w:numId="3" w16cid:durableId="2121029291">
    <w:abstractNumId w:val="3"/>
  </w:num>
  <w:num w:numId="4" w16cid:durableId="2007515417">
    <w:abstractNumId w:val="1"/>
  </w:num>
  <w:num w:numId="5" w16cid:durableId="1603876307">
    <w:abstractNumId w:val="2"/>
  </w:num>
  <w:num w:numId="6" w16cid:durableId="950741809">
    <w:abstractNumId w:val="6"/>
  </w:num>
  <w:num w:numId="7" w16cid:durableId="542518981">
    <w:abstractNumId w:val="7"/>
  </w:num>
  <w:num w:numId="8" w16cid:durableId="174155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C4"/>
    <w:rsid w:val="00090DC4"/>
    <w:rsid w:val="003316BA"/>
    <w:rsid w:val="007A0FEF"/>
    <w:rsid w:val="00A85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A9B757"/>
  <w15:docId w15:val="{72784B56-01C1-F444-9534-E61860D15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hAnsi="Times New Roman" w:cs="Times New Roman"/>
      <w:b/>
      <w:bCs/>
      <w:kern w:val="0"/>
      <w:sz w:val="28"/>
      <w:szCs w:val="28"/>
    </w:rPr>
  </w:style>
  <w:style w:type="paragraph" w:styleId="Heading3">
    <w:name w:val="heading 3"/>
    <w:basedOn w:val="Normal"/>
    <w:link w:val="Heading3Char"/>
    <w:uiPriority w:val="9"/>
    <w:qFormat/>
    <w:pPr>
      <w:spacing w:before="240" w:after="100" w:afterAutospacing="1" w:line="240" w:lineRule="auto"/>
      <w:outlineLvl w:val="2"/>
    </w:pPr>
    <w:rPr>
      <w:rFonts w:ascii="Times New Roman" w:hAnsi="Times New Roman" w:cs="Times New Roman"/>
      <w:b/>
      <w:bCs/>
      <w:i/>
      <w:i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Pr>
      <w:rFonts w:ascii="Times New Roman" w:hAnsi="Times New Roman" w:cs="Times New Roman"/>
      <w:b/>
      <w:bCs/>
      <w:kern w:val="0"/>
      <w:sz w:val="28"/>
      <w:szCs w:val="28"/>
    </w:rPr>
  </w:style>
  <w:style w:type="character" w:customStyle="1" w:styleId="Heading3Char">
    <w:name w:val="Heading 3 Char"/>
    <w:basedOn w:val="DefaultParagraphFont"/>
    <w:link w:val="Heading3"/>
    <w:uiPriority w:val="9"/>
    <w:rPr>
      <w:rFonts w:ascii="Times New Roman" w:hAnsi="Times New Roman" w:cs="Times New Roman"/>
      <w:b/>
      <w:bCs/>
      <w:i/>
      <w:iCs/>
      <w:kern w:val="0"/>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50" w:line="240" w:lineRule="auto"/>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7772">
      <w:marLeft w:val="0"/>
      <w:marRight w:val="0"/>
      <w:marTop w:val="0"/>
      <w:marBottom w:val="0"/>
      <w:divBdr>
        <w:top w:val="none" w:sz="0" w:space="0" w:color="auto"/>
        <w:left w:val="none" w:sz="0" w:space="0" w:color="auto"/>
        <w:bottom w:val="none" w:sz="0" w:space="0" w:color="auto"/>
        <w:right w:val="none" w:sz="0" w:space="0" w:color="auto"/>
      </w:divBdr>
      <w:divsChild>
        <w:div w:id="1054890060">
          <w:marLeft w:val="0"/>
          <w:marRight w:val="0"/>
          <w:marTop w:val="0"/>
          <w:marBottom w:val="0"/>
          <w:divBdr>
            <w:top w:val="none" w:sz="0" w:space="0" w:color="auto"/>
            <w:left w:val="none" w:sz="0" w:space="0" w:color="auto"/>
            <w:bottom w:val="none" w:sz="0" w:space="0" w:color="auto"/>
            <w:right w:val="none" w:sz="0" w:space="0" w:color="auto"/>
          </w:divBdr>
          <w:divsChild>
            <w:div w:id="943072283">
              <w:marLeft w:val="0"/>
              <w:marRight w:val="0"/>
              <w:marTop w:val="0"/>
              <w:marBottom w:val="720"/>
              <w:divBdr>
                <w:top w:val="none" w:sz="0" w:space="0" w:color="auto"/>
                <w:left w:val="none" w:sz="0" w:space="0" w:color="auto"/>
                <w:bottom w:val="none" w:sz="0" w:space="0" w:color="auto"/>
                <w:right w:val="none" w:sz="0" w:space="0" w:color="auto"/>
              </w:divBdr>
            </w:div>
            <w:div w:id="913244658">
              <w:marLeft w:val="0"/>
              <w:marRight w:val="0"/>
              <w:marTop w:val="360"/>
              <w:marBottom w:val="180"/>
              <w:divBdr>
                <w:top w:val="none" w:sz="0" w:space="0" w:color="auto"/>
                <w:left w:val="none" w:sz="0" w:space="0" w:color="auto"/>
                <w:bottom w:val="none" w:sz="0" w:space="0" w:color="auto"/>
                <w:right w:val="none" w:sz="0" w:space="0" w:color="auto"/>
              </w:divBdr>
            </w:div>
            <w:div w:id="639383485">
              <w:marLeft w:val="0"/>
              <w:marRight w:val="0"/>
              <w:marTop w:val="360"/>
              <w:marBottom w:val="180"/>
              <w:divBdr>
                <w:top w:val="none" w:sz="0" w:space="0" w:color="auto"/>
                <w:left w:val="none" w:sz="0" w:space="0" w:color="auto"/>
                <w:bottom w:val="none" w:sz="0" w:space="0" w:color="auto"/>
                <w:right w:val="none" w:sz="0" w:space="0" w:color="auto"/>
              </w:divBdr>
            </w:div>
            <w:div w:id="154077706">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718478490">
      <w:marLeft w:val="0"/>
      <w:marRight w:val="0"/>
      <w:marTop w:val="0"/>
      <w:marBottom w:val="0"/>
      <w:divBdr>
        <w:top w:val="none" w:sz="0" w:space="0" w:color="auto"/>
        <w:left w:val="none" w:sz="0" w:space="0" w:color="auto"/>
        <w:bottom w:val="none" w:sz="0" w:space="0" w:color="auto"/>
        <w:right w:val="none" w:sz="0" w:space="0" w:color="auto"/>
      </w:divBdr>
      <w:divsChild>
        <w:div w:id="1335839670">
          <w:marLeft w:val="0"/>
          <w:marRight w:val="0"/>
          <w:marTop w:val="0"/>
          <w:marBottom w:val="0"/>
          <w:divBdr>
            <w:top w:val="none" w:sz="0" w:space="0" w:color="auto"/>
            <w:left w:val="none" w:sz="0" w:space="0" w:color="auto"/>
            <w:bottom w:val="none" w:sz="0" w:space="0" w:color="auto"/>
            <w:right w:val="none" w:sz="0" w:space="0" w:color="auto"/>
          </w:divBdr>
          <w:divsChild>
            <w:div w:id="1620070443">
              <w:marLeft w:val="0"/>
              <w:marRight w:val="0"/>
              <w:marTop w:val="0"/>
              <w:marBottom w:val="720"/>
              <w:divBdr>
                <w:top w:val="none" w:sz="0" w:space="0" w:color="auto"/>
                <w:left w:val="none" w:sz="0" w:space="0" w:color="auto"/>
                <w:bottom w:val="none" w:sz="0" w:space="0" w:color="auto"/>
                <w:right w:val="none" w:sz="0" w:space="0" w:color="auto"/>
              </w:divBdr>
            </w:div>
            <w:div w:id="229925343">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1435436904">
      <w:marLeft w:val="0"/>
      <w:marRight w:val="0"/>
      <w:marTop w:val="0"/>
      <w:marBottom w:val="0"/>
      <w:divBdr>
        <w:top w:val="none" w:sz="0" w:space="0" w:color="auto"/>
        <w:left w:val="none" w:sz="0" w:space="0" w:color="auto"/>
        <w:bottom w:val="none" w:sz="0" w:space="0" w:color="auto"/>
        <w:right w:val="none" w:sz="0" w:space="0" w:color="auto"/>
      </w:divBdr>
      <w:divsChild>
        <w:div w:id="347408440">
          <w:marLeft w:val="0"/>
          <w:marRight w:val="0"/>
          <w:marTop w:val="0"/>
          <w:marBottom w:val="0"/>
          <w:divBdr>
            <w:top w:val="none" w:sz="0" w:space="0" w:color="auto"/>
            <w:left w:val="none" w:sz="0" w:space="0" w:color="auto"/>
            <w:bottom w:val="none" w:sz="0" w:space="0" w:color="auto"/>
            <w:right w:val="none" w:sz="0" w:space="0" w:color="auto"/>
          </w:divBdr>
          <w:divsChild>
            <w:div w:id="1521814333">
              <w:marLeft w:val="0"/>
              <w:marRight w:val="0"/>
              <w:marTop w:val="0"/>
              <w:marBottom w:val="720"/>
              <w:divBdr>
                <w:top w:val="none" w:sz="0" w:space="0" w:color="auto"/>
                <w:left w:val="none" w:sz="0" w:space="0" w:color="auto"/>
                <w:bottom w:val="none" w:sz="0" w:space="0" w:color="auto"/>
                <w:right w:val="none" w:sz="0" w:space="0" w:color="auto"/>
              </w:divBdr>
            </w:div>
            <w:div w:id="459543656">
              <w:marLeft w:val="0"/>
              <w:marRight w:val="0"/>
              <w:marTop w:val="360"/>
              <w:marBottom w:val="180"/>
              <w:divBdr>
                <w:top w:val="none" w:sz="0" w:space="0" w:color="auto"/>
                <w:left w:val="none" w:sz="0" w:space="0" w:color="auto"/>
                <w:bottom w:val="none" w:sz="0" w:space="0" w:color="auto"/>
                <w:right w:val="none" w:sz="0" w:space="0" w:color="auto"/>
              </w:divBdr>
            </w:div>
            <w:div w:id="913398474">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1535000985">
      <w:marLeft w:val="0"/>
      <w:marRight w:val="0"/>
      <w:marTop w:val="0"/>
      <w:marBottom w:val="0"/>
      <w:divBdr>
        <w:top w:val="none" w:sz="0" w:space="0" w:color="auto"/>
        <w:left w:val="none" w:sz="0" w:space="0" w:color="auto"/>
        <w:bottom w:val="none" w:sz="0" w:space="0" w:color="auto"/>
        <w:right w:val="none" w:sz="0" w:space="0" w:color="auto"/>
      </w:divBdr>
      <w:divsChild>
        <w:div w:id="18358357">
          <w:marLeft w:val="0"/>
          <w:marRight w:val="0"/>
          <w:marTop w:val="0"/>
          <w:marBottom w:val="0"/>
          <w:divBdr>
            <w:top w:val="none" w:sz="0" w:space="0" w:color="auto"/>
            <w:left w:val="none" w:sz="0" w:space="0" w:color="auto"/>
            <w:bottom w:val="none" w:sz="0" w:space="0" w:color="auto"/>
            <w:right w:val="none" w:sz="0" w:space="0" w:color="auto"/>
          </w:divBdr>
          <w:divsChild>
            <w:div w:id="1608197098">
              <w:marLeft w:val="0"/>
              <w:marRight w:val="0"/>
              <w:marTop w:val="0"/>
              <w:marBottom w:val="720"/>
              <w:divBdr>
                <w:top w:val="none" w:sz="0" w:space="0" w:color="auto"/>
                <w:left w:val="none" w:sz="0" w:space="0" w:color="auto"/>
                <w:bottom w:val="none" w:sz="0" w:space="0" w:color="auto"/>
                <w:right w:val="none" w:sz="0" w:space="0" w:color="auto"/>
              </w:divBdr>
            </w:div>
            <w:div w:id="1582786392">
              <w:marLeft w:val="0"/>
              <w:marRight w:val="0"/>
              <w:marTop w:val="0"/>
              <w:marBottom w:val="0"/>
              <w:divBdr>
                <w:top w:val="none" w:sz="0" w:space="0" w:color="auto"/>
                <w:left w:val="none" w:sz="0" w:space="0" w:color="auto"/>
                <w:bottom w:val="none" w:sz="0" w:space="0" w:color="auto"/>
                <w:right w:val="none" w:sz="0" w:space="0" w:color="auto"/>
              </w:divBdr>
            </w:div>
            <w:div w:id="1091851815">
              <w:marLeft w:val="0"/>
              <w:marRight w:val="0"/>
              <w:marTop w:val="0"/>
              <w:marBottom w:val="300"/>
              <w:divBdr>
                <w:top w:val="none" w:sz="0" w:space="0" w:color="auto"/>
                <w:left w:val="none" w:sz="0" w:space="0" w:color="auto"/>
                <w:bottom w:val="none" w:sz="0" w:space="0" w:color="auto"/>
                <w:right w:val="none" w:sz="0" w:space="0" w:color="auto"/>
              </w:divBdr>
            </w:div>
            <w:div w:id="658121830">
              <w:marLeft w:val="0"/>
              <w:marRight w:val="0"/>
              <w:marTop w:val="0"/>
              <w:marBottom w:val="0"/>
              <w:divBdr>
                <w:top w:val="none" w:sz="0" w:space="0" w:color="auto"/>
                <w:left w:val="none" w:sz="0" w:space="0" w:color="auto"/>
                <w:bottom w:val="none" w:sz="0" w:space="0" w:color="auto"/>
                <w:right w:val="none" w:sz="0" w:space="0" w:color="auto"/>
              </w:divBdr>
            </w:div>
            <w:div w:id="1964654413">
              <w:marLeft w:val="0"/>
              <w:marRight w:val="0"/>
              <w:marTop w:val="360"/>
              <w:marBottom w:val="180"/>
              <w:divBdr>
                <w:top w:val="none" w:sz="0" w:space="0" w:color="auto"/>
                <w:left w:val="none" w:sz="0" w:space="0" w:color="auto"/>
                <w:bottom w:val="none" w:sz="0" w:space="0" w:color="auto"/>
                <w:right w:val="none" w:sz="0" w:space="0" w:color="auto"/>
              </w:divBdr>
            </w:div>
            <w:div w:id="213541687">
              <w:marLeft w:val="0"/>
              <w:marRight w:val="0"/>
              <w:marTop w:val="360"/>
              <w:marBottom w:val="180"/>
              <w:divBdr>
                <w:top w:val="none" w:sz="0" w:space="0" w:color="auto"/>
                <w:left w:val="none" w:sz="0" w:space="0" w:color="auto"/>
                <w:bottom w:val="none" w:sz="0" w:space="0" w:color="auto"/>
                <w:right w:val="none" w:sz="0" w:space="0" w:color="auto"/>
              </w:divBdr>
            </w:div>
            <w:div w:id="1791777848">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1898854221">
      <w:marLeft w:val="0"/>
      <w:marRight w:val="0"/>
      <w:marTop w:val="0"/>
      <w:marBottom w:val="0"/>
      <w:divBdr>
        <w:top w:val="none" w:sz="0" w:space="0" w:color="auto"/>
        <w:left w:val="none" w:sz="0" w:space="0" w:color="auto"/>
        <w:bottom w:val="none" w:sz="0" w:space="0" w:color="auto"/>
        <w:right w:val="none" w:sz="0" w:space="0" w:color="auto"/>
      </w:divBdr>
      <w:divsChild>
        <w:div w:id="1239172721">
          <w:marLeft w:val="0"/>
          <w:marRight w:val="0"/>
          <w:marTop w:val="0"/>
          <w:marBottom w:val="0"/>
          <w:divBdr>
            <w:top w:val="none" w:sz="0" w:space="0" w:color="auto"/>
            <w:left w:val="none" w:sz="0" w:space="0" w:color="auto"/>
            <w:bottom w:val="none" w:sz="0" w:space="0" w:color="auto"/>
            <w:right w:val="none" w:sz="0" w:space="0" w:color="auto"/>
          </w:divBdr>
          <w:divsChild>
            <w:div w:id="881140489">
              <w:marLeft w:val="0"/>
              <w:marRight w:val="0"/>
              <w:marTop w:val="0"/>
              <w:marBottom w:val="720"/>
              <w:divBdr>
                <w:top w:val="none" w:sz="0" w:space="0" w:color="auto"/>
                <w:left w:val="none" w:sz="0" w:space="0" w:color="auto"/>
                <w:bottom w:val="none" w:sz="0" w:space="0" w:color="auto"/>
                <w:right w:val="none" w:sz="0" w:space="0" w:color="auto"/>
              </w:divBdr>
            </w:div>
            <w:div w:id="492910702">
              <w:marLeft w:val="0"/>
              <w:marRight w:val="0"/>
              <w:marTop w:val="360"/>
              <w:marBottom w:val="180"/>
              <w:divBdr>
                <w:top w:val="none" w:sz="0" w:space="0" w:color="auto"/>
                <w:left w:val="none" w:sz="0" w:space="0" w:color="auto"/>
                <w:bottom w:val="none" w:sz="0" w:space="0" w:color="auto"/>
                <w:right w:val="none" w:sz="0" w:space="0" w:color="auto"/>
              </w:divBdr>
            </w:div>
            <w:div w:id="2013799363">
              <w:marLeft w:val="0"/>
              <w:marRight w:val="0"/>
              <w:marTop w:val="360"/>
              <w:marBottom w:val="180"/>
              <w:divBdr>
                <w:top w:val="none" w:sz="0" w:space="0" w:color="auto"/>
                <w:left w:val="none" w:sz="0" w:space="0" w:color="auto"/>
                <w:bottom w:val="none" w:sz="0" w:space="0" w:color="auto"/>
                <w:right w:val="none" w:sz="0" w:space="0" w:color="auto"/>
              </w:divBdr>
            </w:div>
            <w:div w:id="210576727">
              <w:marLeft w:val="0"/>
              <w:marRight w:val="0"/>
              <w:marTop w:val="360"/>
              <w:marBottom w:val="180"/>
              <w:divBdr>
                <w:top w:val="none" w:sz="0" w:space="0" w:color="auto"/>
                <w:left w:val="none" w:sz="0" w:space="0" w:color="auto"/>
                <w:bottom w:val="none" w:sz="0" w:space="0" w:color="auto"/>
                <w:right w:val="none" w:sz="0" w:space="0" w:color="auto"/>
              </w:divBdr>
            </w:div>
            <w:div w:id="1868912104">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upload.wikimedia.org/wikipedia/commons/thumb/d/da/Seal_of_the_Federal_Bureau_of_Investigation.svg/96px-Seal_of_the_Federal_Bureau_of_Investigation.svg.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941</Words>
  <Characters>5364</Characters>
  <Application>Microsoft Office Word</Application>
  <DocSecurity>0</DocSecurity>
  <Lines>44</Lines>
  <Paragraphs>12</Paragraphs>
  <ScaleCrop>false</ScaleCrop>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Anees Merzi</cp:lastModifiedBy>
  <cp:revision>2</cp:revision>
  <dcterms:created xsi:type="dcterms:W3CDTF">2025-09-05T15:10:00Z</dcterms:created>
  <dcterms:modified xsi:type="dcterms:W3CDTF">2025-09-05T15:10:00Z</dcterms:modified>
</cp:coreProperties>
</file>