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6004B"/>
          <w:sz w:val="40"/>
          <w:szCs w:val="40"/>
        </w:rPr>
        <w:t xml:space="preserve">Informe de Validación Estructural</w:t>
      </w:r>
    </w:p>
    <w:p>
      <w:pPr>
        <w:spacing w:after="300"/>
      </w:pPr>
      <w:r>
        <w:rPr>
          <w:color w:val="555555"/>
          <w:sz w:val="26"/>
          <w:szCs w:val="26"/>
        </w:rPr>
        <w:t xml:space="preserve">Cuadros de Caracterización Ganadera 2025 – Ciclo 1 y Ciclo 2</w:t>
      </w:r>
    </w:p>
    <w:p>
      <w:pPr>
        <w:pBdr>
          <w:bottom w:val="single" w:color="CCCCCC" w:sz="6"/>
        </w:pBdr>
        <w:spacing w:after="200"/>
      </w:pPr>
    </w:p>
    <w:p>
      <w:pPr>
        <w:pStyle w:val="Heading1"/>
        <w:spacing w:after="160" w:before="360"/>
      </w:pPr>
      <w:r>
        <w:rPr>
          <w:b/>
          <w:bCs/>
          <w:color w:val="B6004B"/>
          <w:sz w:val="28"/>
          <w:szCs w:val="28"/>
        </w:rPr>
        <w:t xml:space="preserve">1. Alcance</w:t>
      </w:r>
    </w:p>
    <w:p>
      <w:pPr>
        <w:spacing w:after="160" w:line="276"/>
      </w:pPr>
      <w:r>
        <w:rPr>
          <w:sz w:val="22"/>
          <w:szCs w:val="22"/>
        </w:rPr>
        <w:t xml:space="preserve">Este informe documenta la validación de consistencia estructural de los 3 libros de publicación de la Encuesta de Caracterización Ganadera (ECG) 2025: Inventario, Ganadero y Predio-ganadero, cubriendo el Primer y Segundo ciclo nacional de vacunación de 2025.</w:t>
      </w:r>
    </w:p>
    <w:p>
      <w:pPr>
        <w:spacing w:after="160" w:line="276"/>
      </w:pPr>
      <w:r>
        <w:rPr>
          <w:sz w:val="22"/>
          <w:szCs w:val="22"/>
        </w:rPr>
        <w:t xml:space="preserve">En conjunto se validaron 66 cuadros/bloques de datos (12 en Inventario, 27 en Ganadero y 27 en Predio-ganadero) y 107 comparaciones cruzadas entre cuadros, en los 3 niveles de agregación territorial: nacional, departamental y municipal.</w:t>
      </w:r>
    </w:p>
    <w:p>
      <w:pPr>
        <w:pStyle w:val="Heading1"/>
        <w:spacing w:after="160" w:before="360"/>
      </w:pPr>
      <w:r>
        <w:rPr>
          <w:b/>
          <w:bCs/>
          <w:color w:val="B6004B"/>
          <w:sz w:val="28"/>
          <w:szCs w:val="28"/>
        </w:rPr>
        <w:t xml:space="preserve">2. Metodología</w:t>
      </w:r>
    </w:p>
    <w:p>
      <w:pPr>
        <w:spacing w:after="160" w:line="276"/>
      </w:pPr>
      <w:r>
        <w:rPr>
          <w:sz w:val="22"/>
          <w:szCs w:val="22"/>
        </w:rPr>
        <w:t xml:space="preserve">La validación se aplica sobre el archivo Excel final ya generado (no sobre los cálculos intermedios en memoria), y verifica 4 tipos de consistencia:</w:t>
      </w:r>
    </w:p>
    <w:p>
      <w:pPr>
        <w:pStyle w:val="ListParagraph"/>
        <w:numPr>
          <w:ilvl w:val="0"/>
          <w:numId w:val="2"/>
        </w:numPr>
        <w:spacing w:after="100" w:line="276"/>
      </w:pPr>
      <w:r>
        <w:rPr>
          <w:sz w:val="22"/>
          <w:szCs w:val="22"/>
        </w:rPr>
        <w:t xml:space="preserve">Vertical: cada departamento es igual a la suma exacta de sus municipios, y el total nacional es igual a la suma exacta de los departamentos.</w:t>
      </w:r>
    </w:p>
    <w:p>
      <w:pPr>
        <w:pStyle w:val="ListParagraph"/>
        <w:numPr>
          <w:ilvl w:val="0"/>
          <w:numId w:val="2"/>
        </w:numPr>
        <w:spacing w:after="100" w:line="276"/>
      </w:pPr>
      <w:r>
        <w:rPr>
          <w:sz w:val="22"/>
          <w:szCs w:val="22"/>
        </w:rPr>
        <w:t xml:space="preserve">Horizontal: cuando un “total” de un cuadro debe ser igual a la suma de sus componentes (por ejemplo, Total = Hombres + Mujeres + Persona jurídica), se verifica que esa igualdad se cumpla en todas las filas.</w:t>
      </w:r>
    </w:p>
    <w:p>
      <w:pPr>
        <w:pStyle w:val="ListParagraph"/>
        <w:numPr>
          <w:ilvl w:val="0"/>
          <w:numId w:val="2"/>
        </w:numPr>
        <w:spacing w:after="100" w:line="276"/>
      </w:pPr>
      <w:r>
        <w:rPr>
          <w:sz w:val="22"/>
          <w:szCs w:val="22"/>
        </w:rPr>
        <w:t xml:space="preserve">Cruzada entre cuadros: cuando la misma cantidad se reporta en más de un cuadro o en más de un libro (por ejemplo, el “Total de ganaderos” de Cuadro 1 debe coincidir con el de los demás cuadros del mismo libro), se verifica que ambos valores coincidan exactamente.</w:t>
      </w:r>
    </w:p>
    <w:p>
      <w:pPr>
        <w:pStyle w:val="ListParagraph"/>
        <w:numPr>
          <w:ilvl w:val="0"/>
          <w:numId w:val="2"/>
        </w:numPr>
        <w:spacing w:after="100" w:line="276"/>
      </w:pPr>
      <w:r>
        <w:rPr>
          <w:sz w:val="22"/>
          <w:szCs w:val="22"/>
        </w:rPr>
        <w:t xml:space="preserve">Universo territorial: que cada cuadro incluya exactamente los municipios y departamentos del catálogo oficial, sin duplicados ni faltantes.</w:t>
      </w:r>
    </w:p>
    <w:p>
      <w:pPr>
        <w:spacing w:after="160" w:line="276"/>
      </w:pPr>
      <w:r>
        <w:rPr>
          <w:sz w:val="22"/>
          <w:szCs w:val="22"/>
        </w:rPr>
        <w:t xml:space="preserve">Esta validación automatizada se ejecuta contra el archivo Excel final porque los cálculos en memoria, por construcción, siempre son consistentes; los problemas reales ocurren en la escritura al archivo o en decisiones de diseño que no se reconciliaron entre cuadros – por eso es el archivo final, y no el cálculo intermedio, lo que se audita.</w:t>
      </w:r>
    </w:p>
    <w:p>
      <w:pPr>
        <w:pStyle w:val="Heading1"/>
        <w:spacing w:after="160" w:before="360"/>
      </w:pPr>
      <w:r>
        <w:rPr>
          <w:b/>
          <w:bCs/>
          <w:color w:val="B6004B"/>
          <w:sz w:val="28"/>
          <w:szCs w:val="28"/>
        </w:rPr>
        <w:t xml:space="preserve">3. Resultado</w:t>
      </w:r>
    </w:p>
    <w:p>
      <w:pPr>
        <w:spacing w:after="160" w:line="276"/>
      </w:pPr>
      <w:r>
        <w:rPr>
          <w:b/>
          <w:bCs/>
          <w:color w:val="1E7A34"/>
          <w:sz w:val="22"/>
          <w:szCs w:val="22"/>
        </w:rPr>
        <w:t xml:space="preserve">Sin ninguna inconsistencia en ningún cuadro, en los 3 niveles de agregación.</w:t>
      </w:r>
    </w:p>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800"/>
      </w:tblGrid>
      <w:tr>
        <w:tc>
          <w:tcPr>
            <w:tcW w:type="dxa" w:w="2800"/>
            <w:shd w:fill="F2E6EC" w:val="clear"/>
            <w:tcMar>
              <w:top w:type="dxa" w:w="80"/>
              <w:left w:type="dxa" w:w="100"/>
              <w:bottom w:type="dxa" w:w="80"/>
              <w:right w:type="dxa" w:w="100"/>
            </w:tcMar>
          </w:tcPr>
          <w:p>
            <w:pPr>
              <w:jc w:val="left"/>
            </w:pPr>
            <w:r>
              <w:rPr>
                <w:b/>
                <w:bCs/>
                <w:sz w:val="20"/>
                <w:szCs w:val="20"/>
              </w:rPr>
              <w:t xml:space="preserve">Libro</w:t>
            </w:r>
          </w:p>
        </w:tc>
        <w:tc>
          <w:tcPr>
            <w:tcW w:type="dxa" w:w="2400"/>
            <w:shd w:fill="F2E6EC" w:val="clear"/>
            <w:tcMar>
              <w:top w:type="dxa" w:w="80"/>
              <w:left w:type="dxa" w:w="100"/>
              <w:bottom w:type="dxa" w:w="80"/>
              <w:right w:type="dxa" w:w="100"/>
            </w:tcMar>
          </w:tcPr>
          <w:p>
            <w:pPr>
              <w:jc w:val="center"/>
            </w:pPr>
            <w:r>
              <w:rPr>
                <w:b/>
                <w:bCs/>
                <w:sz w:val="20"/>
                <w:szCs w:val="20"/>
              </w:rPr>
              <w:t xml:space="preserve">Cuadros validados</w:t>
            </w:r>
          </w:p>
        </w:tc>
        <w:tc>
          <w:tcPr>
            <w:tcW w:type="dxa" w:w="2400"/>
            <w:shd w:fill="F2E6EC" w:val="clear"/>
            <w:tcMar>
              <w:top w:type="dxa" w:w="80"/>
              <w:left w:type="dxa" w:w="100"/>
              <w:bottom w:type="dxa" w:w="80"/>
              <w:right w:type="dxa" w:w="100"/>
            </w:tcMar>
          </w:tcPr>
          <w:p>
            <w:pPr>
              <w:jc w:val="center"/>
            </w:pPr>
            <w:r>
              <w:rPr>
                <w:b/>
                <w:bCs/>
                <w:sz w:val="20"/>
                <w:szCs w:val="20"/>
              </w:rPr>
              <w:t xml:space="preserve">Ciclos cubiertos</w:t>
            </w:r>
          </w:p>
        </w:tc>
        <w:tc>
          <w:tcPr>
            <w:tcW w:type="dxa" w:w="1800"/>
            <w:shd w:fill="F2E6EC" w:val="clear"/>
            <w:tcMar>
              <w:top w:type="dxa" w:w="80"/>
              <w:left w:type="dxa" w:w="100"/>
              <w:bottom w:type="dxa" w:w="80"/>
              <w:right w:type="dxa" w:w="100"/>
            </w:tcMar>
          </w:tcPr>
          <w:p>
            <w:pPr>
              <w:jc w:val="center"/>
            </w:pPr>
            <w:r>
              <w:rPr>
                <w:b/>
                <w:bCs/>
                <w:sz w:val="20"/>
                <w:szCs w:val="20"/>
              </w:rPr>
              <w:t xml:space="preserve">Resultado</w:t>
            </w:r>
          </w:p>
        </w:tc>
      </w:tr>
      <w:tr>
        <w:tc>
          <w:tcPr>
            <w:tcW w:type="dxa" w:w="2800"/>
            <w:tcMar>
              <w:top w:type="dxa" w:w="80"/>
              <w:left w:type="dxa" w:w="100"/>
              <w:bottom w:type="dxa" w:w="80"/>
              <w:right w:type="dxa" w:w="100"/>
            </w:tcMar>
          </w:tcPr>
          <w:p>
            <w:pPr>
              <w:jc w:val="left"/>
            </w:pPr>
            <w:r>
              <w:rPr>
                <w:b w:val="false"/>
                <w:bCs w:val="false"/>
                <w:sz w:val="20"/>
                <w:szCs w:val="20"/>
              </w:rPr>
              <w:t xml:space="preserve">Inventario</w:t>
            </w:r>
          </w:p>
        </w:tc>
        <w:tc>
          <w:tcPr>
            <w:tcW w:type="dxa" w:w="2400"/>
            <w:tcMar>
              <w:top w:type="dxa" w:w="80"/>
              <w:left w:type="dxa" w:w="100"/>
              <w:bottom w:type="dxa" w:w="80"/>
              <w:right w:type="dxa" w:w="100"/>
            </w:tcMar>
          </w:tcPr>
          <w:p>
            <w:pPr>
              <w:jc w:val="center"/>
            </w:pPr>
            <w:r>
              <w:rPr>
                <w:b w:val="false"/>
                <w:bCs w:val="false"/>
                <w:sz w:val="20"/>
                <w:szCs w:val="20"/>
              </w:rPr>
              <w:t xml:space="preserve">12</w:t>
            </w:r>
          </w:p>
        </w:tc>
        <w:tc>
          <w:tcPr>
            <w:tcW w:type="dxa" w:w="2400"/>
            <w:tcMar>
              <w:top w:type="dxa" w:w="80"/>
              <w:left w:type="dxa" w:w="100"/>
              <w:bottom w:type="dxa" w:w="80"/>
              <w:right w:type="dxa" w:w="100"/>
            </w:tcMar>
          </w:tcPr>
          <w:p>
            <w:pPr>
              <w:jc w:val="center"/>
            </w:pPr>
            <w:r>
              <w:rPr>
                <w:b w:val="false"/>
                <w:bCs w:val="false"/>
                <w:sz w:val="20"/>
                <w:szCs w:val="20"/>
              </w:rPr>
              <w:t xml:space="preserve">Ciclo 1 y Ciclo 2</w:t>
            </w:r>
          </w:p>
        </w:tc>
        <w:tc>
          <w:tcPr>
            <w:tcW w:type="dxa" w:w="1800"/>
            <w:tcMar>
              <w:top w:type="dxa" w:w="80"/>
              <w:left w:type="dxa" w:w="100"/>
              <w:bottom w:type="dxa" w:w="80"/>
              <w:right w:type="dxa" w:w="100"/>
            </w:tcMar>
          </w:tcPr>
          <w:p>
            <w:pPr>
              <w:jc w:val="center"/>
            </w:pPr>
            <w:r>
              <w:rPr>
                <w:b w:val="false"/>
                <w:bCs w:val="false"/>
                <w:color w:val="1E7A34"/>
                <w:sz w:val="20"/>
                <w:szCs w:val="20"/>
              </w:rPr>
              <w:t xml:space="preserve">OK</w:t>
            </w:r>
          </w:p>
        </w:tc>
      </w:tr>
      <w:tr>
        <w:tc>
          <w:tcPr>
            <w:tcW w:type="dxa" w:w="2800"/>
            <w:tcMar>
              <w:top w:type="dxa" w:w="80"/>
              <w:left w:type="dxa" w:w="100"/>
              <w:bottom w:type="dxa" w:w="80"/>
              <w:right w:type="dxa" w:w="100"/>
            </w:tcMar>
          </w:tcPr>
          <w:p>
            <w:pPr>
              <w:jc w:val="left"/>
            </w:pPr>
            <w:r>
              <w:rPr>
                <w:b w:val="false"/>
                <w:bCs w:val="false"/>
                <w:sz w:val="20"/>
                <w:szCs w:val="20"/>
              </w:rPr>
              <w:t xml:space="preserve">Ganadero</w:t>
            </w:r>
          </w:p>
        </w:tc>
        <w:tc>
          <w:tcPr>
            <w:tcW w:type="dxa" w:w="2400"/>
            <w:tcMar>
              <w:top w:type="dxa" w:w="80"/>
              <w:left w:type="dxa" w:w="100"/>
              <w:bottom w:type="dxa" w:w="80"/>
              <w:right w:type="dxa" w:w="100"/>
            </w:tcMar>
          </w:tcPr>
          <w:p>
            <w:pPr>
              <w:jc w:val="center"/>
            </w:pPr>
            <w:r>
              <w:rPr>
                <w:b w:val="false"/>
                <w:bCs w:val="false"/>
                <w:sz w:val="20"/>
                <w:szCs w:val="20"/>
              </w:rPr>
              <w:t xml:space="preserve">27</w:t>
            </w:r>
          </w:p>
        </w:tc>
        <w:tc>
          <w:tcPr>
            <w:tcW w:type="dxa" w:w="2400"/>
            <w:tcMar>
              <w:top w:type="dxa" w:w="80"/>
              <w:left w:type="dxa" w:w="100"/>
              <w:bottom w:type="dxa" w:w="80"/>
              <w:right w:type="dxa" w:w="100"/>
            </w:tcMar>
          </w:tcPr>
          <w:p>
            <w:pPr>
              <w:jc w:val="center"/>
            </w:pPr>
            <w:r>
              <w:rPr>
                <w:b w:val="false"/>
                <w:bCs w:val="false"/>
                <w:sz w:val="20"/>
                <w:szCs w:val="20"/>
              </w:rPr>
              <w:t xml:space="preserve">Ciclo 1 y Ciclo 2</w:t>
            </w:r>
          </w:p>
        </w:tc>
        <w:tc>
          <w:tcPr>
            <w:tcW w:type="dxa" w:w="1800"/>
            <w:tcMar>
              <w:top w:type="dxa" w:w="80"/>
              <w:left w:type="dxa" w:w="100"/>
              <w:bottom w:type="dxa" w:w="80"/>
              <w:right w:type="dxa" w:w="100"/>
            </w:tcMar>
          </w:tcPr>
          <w:p>
            <w:pPr>
              <w:jc w:val="center"/>
            </w:pPr>
            <w:r>
              <w:rPr>
                <w:b w:val="false"/>
                <w:bCs w:val="false"/>
                <w:color w:val="1E7A34"/>
                <w:sz w:val="20"/>
                <w:szCs w:val="20"/>
              </w:rPr>
              <w:t xml:space="preserve">OK</w:t>
            </w:r>
          </w:p>
        </w:tc>
      </w:tr>
      <w:tr>
        <w:tc>
          <w:tcPr>
            <w:tcW w:type="dxa" w:w="2800"/>
            <w:tcMar>
              <w:top w:type="dxa" w:w="80"/>
              <w:left w:type="dxa" w:w="100"/>
              <w:bottom w:type="dxa" w:w="80"/>
              <w:right w:type="dxa" w:w="100"/>
            </w:tcMar>
          </w:tcPr>
          <w:p>
            <w:pPr>
              <w:jc w:val="left"/>
            </w:pPr>
            <w:r>
              <w:rPr>
                <w:b w:val="false"/>
                <w:bCs w:val="false"/>
                <w:sz w:val="20"/>
                <w:szCs w:val="20"/>
              </w:rPr>
              <w:t xml:space="preserve">Predio-ganadero</w:t>
            </w:r>
          </w:p>
        </w:tc>
        <w:tc>
          <w:tcPr>
            <w:tcW w:type="dxa" w:w="2400"/>
            <w:tcMar>
              <w:top w:type="dxa" w:w="80"/>
              <w:left w:type="dxa" w:w="100"/>
              <w:bottom w:type="dxa" w:w="80"/>
              <w:right w:type="dxa" w:w="100"/>
            </w:tcMar>
          </w:tcPr>
          <w:p>
            <w:pPr>
              <w:jc w:val="center"/>
            </w:pPr>
            <w:r>
              <w:rPr>
                <w:b w:val="false"/>
                <w:bCs w:val="false"/>
                <w:sz w:val="20"/>
                <w:szCs w:val="20"/>
              </w:rPr>
              <w:t xml:space="preserve">27</w:t>
            </w:r>
          </w:p>
        </w:tc>
        <w:tc>
          <w:tcPr>
            <w:tcW w:type="dxa" w:w="2400"/>
            <w:tcMar>
              <w:top w:type="dxa" w:w="80"/>
              <w:left w:type="dxa" w:w="100"/>
              <w:bottom w:type="dxa" w:w="80"/>
              <w:right w:type="dxa" w:w="100"/>
            </w:tcMar>
          </w:tcPr>
          <w:p>
            <w:pPr>
              <w:jc w:val="center"/>
            </w:pPr>
            <w:r>
              <w:rPr>
                <w:b w:val="false"/>
                <w:bCs w:val="false"/>
                <w:sz w:val="20"/>
                <w:szCs w:val="20"/>
              </w:rPr>
              <w:t xml:space="preserve">Ciclo 1 y Ciclo 2</w:t>
            </w:r>
          </w:p>
        </w:tc>
        <w:tc>
          <w:tcPr>
            <w:tcW w:type="dxa" w:w="1800"/>
            <w:tcMar>
              <w:top w:type="dxa" w:w="80"/>
              <w:left w:type="dxa" w:w="100"/>
              <w:bottom w:type="dxa" w:w="80"/>
              <w:right w:type="dxa" w:w="100"/>
            </w:tcMar>
          </w:tcPr>
          <w:p>
            <w:pPr>
              <w:jc w:val="center"/>
            </w:pPr>
            <w:r>
              <w:rPr>
                <w:b w:val="false"/>
                <w:bCs w:val="false"/>
                <w:color w:val="1E7A34"/>
                <w:sz w:val="20"/>
                <w:szCs w:val="20"/>
              </w:rPr>
              <w:t xml:space="preserve">OK</w:t>
            </w:r>
          </w:p>
        </w:tc>
      </w:tr>
    </w:tbl>
    <w:p>
      <w:pPr>
        <w:spacing w:after="300"/>
      </w:pPr>
    </w:p>
    <w:p>
      <w:pPr>
        <w:pStyle w:val="Heading1"/>
        <w:spacing w:after="160" w:before="360"/>
      </w:pPr>
      <w:r>
        <w:rPr>
          <w:b/>
          <w:bCs/>
          <w:color w:val="B6004B"/>
          <w:sz w:val="28"/>
          <w:szCs w:val="28"/>
        </w:rPr>
        <w:t xml:space="preserve">4. Hallazgos corregidos durante el proceso</w:t>
      </w:r>
    </w:p>
    <w:p>
      <w:pPr>
        <w:spacing w:after="160" w:line="276"/>
      </w:pPr>
      <w:r>
        <w:rPr>
          <w:sz w:val="22"/>
          <w:szCs w:val="22"/>
        </w:rPr>
        <w:t xml:space="preserve">La validación no es un chequeo pasivo: en el curso de este trabajo se identificaron y corrigieron varias inconsistencias reales (no falsos positivos), detalladas a continuación.</w:t>
      </w:r>
    </w:p>
    <w:p>
      <w:pPr>
        <w:pStyle w:val="Heading2"/>
        <w:spacing w:after="120" w:before="280"/>
      </w:pPr>
      <w:r>
        <w:rPr>
          <w:b/>
          <w:bCs/>
          <w:sz w:val="24"/>
          <w:szCs w:val="24"/>
        </w:rPr>
        <w:t xml:space="preserve">4.1. Cuadro 3, 7, 8, 9, 10 y 11 del libro ganadero</w:t>
      </w:r>
    </w:p>
    <w:p>
      <w:pPr>
        <w:spacing w:after="160" w:line="276"/>
      </w:pPr>
      <w:r>
        <w:rPr>
          <w:sz w:val="22"/>
          <w:szCs w:val="22"/>
        </w:rPr>
        <w:t xml:space="preserve">Un ajuste previo hacía coincidir el “Total de ganaderos” de cada cuadro con el de Cuadro 1, pero lo hacía modificando una columna intermedia ya derivada (por ejemplo “natural_total”), lo que rompía su propia identidad interna (dejaba de ser exactamente igual a la suma de sus componentes). Se corrigió ajustando las columnas base reales y recalculando los totales intermedios después, de modo que todas las identidades se cumplen simultáneamente.</w:t>
      </w:r>
    </w:p>
    <w:p>
      <w:pPr>
        <w:pStyle w:val="Heading2"/>
        <w:spacing w:after="120" w:before="280"/>
      </w:pPr>
      <w:r>
        <w:rPr>
          <w:b/>
          <w:bCs/>
          <w:sz w:val="24"/>
          <w:szCs w:val="24"/>
        </w:rPr>
        <w:t xml:space="preserve">4.2. Cuadro 6 del libro ganadero (víctimas de delito) – Ciclo 2</w:t>
      </w:r>
    </w:p>
    <w:p>
      <w:pPr>
        <w:spacing w:after="160" w:line="276"/>
      </w:pPr>
      <w:r>
        <w:rPr>
          <w:sz w:val="22"/>
          <w:szCs w:val="22"/>
        </w:rPr>
        <w:t xml:space="preserve">Un filtro heredado del programa SAS original (que excluye predios sin orientación del hato reportada) no afectaba ninguna fila en Ciclo 1, pero sí excluía cerca de 206 ganaderos reales en Ciclo 2. Se mantuvo el filtro para el desglose de delitos (fiel a la metodología original) y se corrigió la columna “Total de ganaderos” para que coincida con Cuadro 1.</w:t>
      </w:r>
    </w:p>
    <w:p>
      <w:pPr>
        <w:pStyle w:val="Heading2"/>
        <w:spacing w:after="120" w:before="280"/>
      </w:pPr>
      <w:r>
        <w:rPr>
          <w:b/>
          <w:bCs/>
          <w:sz w:val="24"/>
          <w:szCs w:val="24"/>
        </w:rPr>
        <w:t xml:space="preserve">4.3. Cuadro 4 y Cuadro 5 del libro ganadero (ganaderos nuevos / que se mantienen)</w:t>
      </w:r>
    </w:p>
    <w:p>
      <w:pPr>
        <w:spacing w:after="160" w:line="276"/>
      </w:pPr>
      <w:r>
        <w:rPr>
          <w:sz w:val="22"/>
          <w:szCs w:val="22"/>
        </w:rPr>
        <w:t xml:space="preserve">Ambos cuadros derivaban su propio “Total” de forma independiente, lo que los hacía consistentes internamente pero no con el resto del libro, y tampoco entre sí. Se corrigió para que ambos reutilicen el total de Cuadro 1; como consecuencia, también vuelven a coincidir exactamente entre sí, sin sacrificar ninguna de las dos identidades.</w:t>
      </w:r>
    </w:p>
    <w:p>
      <w:pPr>
        <w:pStyle w:val="Heading2"/>
        <w:spacing w:after="120" w:before="280"/>
      </w:pPr>
      <w:r>
        <w:rPr>
          <w:b/>
          <w:bCs/>
          <w:sz w:val="24"/>
          <w:szCs w:val="24"/>
        </w:rPr>
        <w:t xml:space="preserve">4.4. Cuadro 14 del libro predio-ganadero (predios con colmenas)</w:t>
      </w:r>
    </w:p>
    <w:p>
      <w:pPr>
        <w:spacing w:after="160" w:line="276"/>
      </w:pPr>
      <w:r>
        <w:rPr>
          <w:sz w:val="22"/>
          <w:szCs w:val="22"/>
        </w:rPr>
        <w:t xml:space="preserve">27 predios que respondieron afirmativamente a la pregunta de colmenas reportaron una cantidad de cero, quedando mezclados con quienes respondieron negativamente. Esto hacía que “con colmenas” no coincidiera con la suma de los rangos de cantidad reportada. Se corrigió reclasificando esos casos.</w:t>
      </w:r>
    </w:p>
    <w:p>
      <w:pPr>
        <w:pStyle w:val="Heading2"/>
        <w:spacing w:after="120" w:before="280"/>
      </w:pPr>
      <w:r>
        <w:rPr>
          <w:b/>
          <w:bCs/>
          <w:sz w:val="24"/>
          <w:szCs w:val="24"/>
        </w:rPr>
        <w:t xml:space="preserve">4.5. Cuadro 15 y Cuadro 16 del libro predio-ganadero</w:t>
      </w:r>
    </w:p>
    <w:p>
      <w:pPr>
        <w:spacing w:after="160" w:line="276"/>
      </w:pPr>
      <w:r>
        <w:rPr>
          <w:sz w:val="22"/>
          <w:szCs w:val="22"/>
        </w:rPr>
        <w:t xml:space="preserve">Se detectaron filas con datos desalineados (no correspondían a una edición manual) y se restauraron a partir de los cálculos ya validados, sin afectar el Cuadro 12 (que sí tiene un ajuste manual intencional y verificado) ni ninguna otra hoja.</w:t>
      </w:r>
    </w:p>
    <w:p>
      <w:pPr>
        <w:pStyle w:val="Heading2"/>
        <w:spacing w:after="120" w:before="280"/>
      </w:pPr>
      <w:r>
        <w:rPr>
          <w:b/>
          <w:bCs/>
          <w:sz w:val="24"/>
          <w:szCs w:val="24"/>
        </w:rPr>
        <w:t xml:space="preserve">4.6. Códigos de exclusión (“n.d.” / “o.c.”)</w:t>
      </w:r>
    </w:p>
    <w:p>
      <w:pPr>
        <w:spacing w:after="160" w:line="276"/>
      </w:pPr>
      <w:r>
        <w:rPr>
          <w:sz w:val="22"/>
          <w:szCs w:val="22"/>
        </w:rPr>
        <w:t xml:space="preserve">Los 88 municipios excluidos del cálculo (por baja cobertura de encuesta, zonas fuera del programa de vacunación, o encuestas repetidas) mostraban “0” en las columnas de datos de todos los cuadros, en vez del código correspondiente. Se aplicó el código real en todas las columnas de datos de la fila de cada municipio excluido, en los 3 libros, igualando la convención del libro oficial publicado en 2024.</w:t>
      </w:r>
    </w:p>
    <w:p>
      <w:pPr>
        <w:pStyle w:val="Heading1"/>
        <w:spacing w:after="160" w:before="360"/>
      </w:pPr>
      <w:r>
        <w:rPr>
          <w:b/>
          <w:bCs/>
          <w:color w:val="B6004B"/>
          <w:sz w:val="28"/>
          <w:szCs w:val="28"/>
        </w:rPr>
        <w:t xml:space="preserve">5. Conclusión</w:t>
      </w:r>
    </w:p>
    <w:p>
      <w:pPr>
        <w:spacing w:after="160" w:line="276"/>
      </w:pPr>
      <w:r>
        <w:rPr>
          <w:sz w:val="22"/>
          <w:szCs w:val="22"/>
        </w:rPr>
        <w:t xml:space="preserve">Al cierre de este informe, los 3 libros de la Encuesta de Caracterización Ganadera 2025 (Inventario, Ganadero y Predio-ganadero) se encuentran estructuralmente validados: los totales coinciden de forma exacta entre cuadros y entre libros, la agregación territorial es consistente en los 3 niveles, y los municipios excluidos del cálculo quedan correctamente señalizados con su código correspondiente.</w:t>
      </w:r>
    </w:p>
    <w:p>
      <w:pPr>
        <w:spacing w:after="160" w:line="276"/>
      </w:pPr>
      <w:r>
        <w:rPr>
          <w:sz w:val="22"/>
          <w:szCs w:val="22"/>
        </w:rPr>
        <w:t xml:space="preserve">Las comparaciones cruzadas agregadas durante este proceso quedan incorporadas de forma permanente al validador del proyecto, de modo que cualquier futura inconsistencia en estos puntos se detectará automáticamente en la próxima ejecución.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2026-10-16T22:01:09.679Z</dcterms:created>
  <dcterms:modified xsi:type="dcterms:W3CDTF">2026-10-16T22:01:09.679Z</dcterms:modified>
</cp:coreProperties>
</file>

<file path=docProps/custom.xml><?xml version="1.0" encoding="utf-8"?>
<Properties xmlns="http://schemas.openxmlformats.org/officeDocument/2006/custom-properties" xmlns:vt="http://schemas.openxmlformats.org/officeDocument/2006/docPropsVTypes"/>
</file>