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Fonds Halima — Santé (Diabète)</w:t>
      </w:r>
    </w:p>
    <w:p>
      <w:pPr>
        <w:spacing w:after="60" w:before="40"/>
      </w:pPr>
      <w:r>
        <w:rPr>
          <w:color w:val="2E7D4F"/>
          <w:sz w:val="18"/>
          <w:szCs w:val="18"/>
        </w:rPr>
        <w:t xml:space="preserve">● </w:t>
      </w:r>
      <w:r>
        <w:rPr>
          <w:b/>
          <w:bCs/>
          <w:caps/>
          <w:color w:val="2E7D4F"/>
          <w:sz w:val="20"/>
          <w:szCs w:val="20"/>
        </w:rPr>
        <w:t xml:space="preserve">Actif · Chaque année</w:t>
      </w:r>
    </w:p>
    <w:p>
      <w:pPr>
        <w:pBdr>
          <w:bottom w:val="single" w:color="4A7AFF" w:sz="6" w:space="1"/>
        </w:pBdr>
        <w:spacing w:after="240" w:before="60"/>
      </w:pPr>
    </w:p>
    <w:p>
      <w:pPr>
        <w:spacing w:after="160" w:before="0"/>
      </w:pPr>
      <w:r>
        <w:rPr>
          <w:color w:val="2C1810"/>
          <w:sz w:val="22"/>
          <w:szCs w:val="22"/>
        </w:rPr>
        <w:t xml:space="preserve">Le cœur de Projet Halima Seyni aujourd’hui. Halima, notre mère, a été emportée par le diabète en 2005. Chaque année, en sa mémoire, notre famille accompagne des personnes vivant avec le diabète au Niger — pour que ce qui nous l’a prise coûte moins aux autres.</w:t>
      </w:r>
    </w:p>
    <w:p>
      <w:pPr>
        <w:pStyle w:val="Heading2"/>
      </w:pPr>
      <w:r>
        <w:t xml:space="preserve">En résumé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2"/>
      </w:tblGrid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Mission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Accompagner chaque année des personnes vivant avec le diabète au Niger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Bénéficiaires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20 à 30 personnes par an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Accompagnées à ce jour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Plus de 50 personnes sur les deux dernières années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Zone d’intervention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Niger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Statut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Actif — reconduit chaque année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Financement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Fonds propres de la famille (à ce jour)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Origine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Commémoration de Halima, décédée du diabète en 2005</w:t>
            </w:r>
          </w:p>
        </w:tc>
      </w:tr>
    </w:tbl>
    <w:p>
      <w:pPr>
        <w:pStyle w:val="Heading2"/>
      </w:pPr>
      <w:r>
        <w:t xml:space="preserve">Ce que nous faisons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Soutien direct à 20 à 30 personnes vivant avec le diabète chaque année (soins et fournitures).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i/>
          <w:iCs/>
          <w:color w:val="2C1810"/>
          <w:sz w:val="22"/>
          <w:szCs w:val="22"/>
        </w:rPr>
        <w:t xml:space="preserve">Détail des prestations à préciser dans ce document : médicaments, matériel de suivi, consultations, sensibilisation…</w:t>
      </w:r>
    </w:p>
    <w:p>
      <w:pPr>
        <w:pStyle w:val="Heading2"/>
      </w:pPr>
      <w:r>
        <w:t xml:space="preserve">Fonctionnement annuel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072"/>
        <w:gridCol w:w="1600"/>
      </w:tblGrid>
      <w:tr>
        <w:trPr>
          <w:tblHeader/>
        </w:trP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Étape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Période</w:t>
            </w:r>
          </w:p>
        </w:tc>
      </w:tr>
      <w:t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Identification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Sélection des bénéficiaires de l’année (critères à formaliser)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À préciser</w:t>
            </w:r>
          </w:p>
        </w:tc>
      </w:tr>
      <w:t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Accompagnement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Distribution des soins et fournitures aux bénéficiaires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À préciser</w:t>
            </w:r>
          </w:p>
        </w:tc>
      </w:tr>
      <w:t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Bilan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Bilan annuel : bénéficiaires, dépenses, photos, leçons (voir modèle de bilan annuel)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Fin d’année</w:t>
            </w:r>
          </w:p>
        </w:tc>
      </w:tr>
    </w:tbl>
    <w:p>
      <w:pPr>
        <w:pStyle w:val="Heading2"/>
      </w:pPr>
      <w:r>
        <w:t xml:space="preserve">Pourquoi documenter chaque année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La constance de ce programme est notre meilleur argument auprès des futurs partenaires et bailleurs : une famille qui soutient 20 à 30 personnes chaque année — plus de 50 personnes sur les deux dernières années — sur ses fonds propres, démontre un engagement réel. Chaque année doit donc laisser une trace écrite : nombre de bénéficiaires, dépenses, photos datées, reçus. Utiliser le « Modèle de bilan annuel » fourni avec cette fiche, et reconstituer si possible les bilans des années passées.</w:t>
      </w:r>
    </w:p>
    <w:p>
      <w:pPr>
        <w:pStyle w:val="Heading2"/>
      </w:pPr>
      <w:r>
        <w:t xml:space="preserve">Perspectives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Officialisation de l’association (récépissé au Niger), permettant un compte bancaire dédié et des partenariats formels.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Accès à des financements extérieurs (mécénat, fonds « American Friends » via un sponsor fiscal américain).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Montée en charge progressive : plus de bénéficiaires, suivi médical renforcé, sensibilisation communautaire au dépistage.</w:t>
      </w:r>
    </w:p>
    <w:p>
      <w:pPr>
        <w:pStyle w:val="Heading2"/>
      </w:pPr>
      <w:r>
        <w:t xml:space="preserve">Contact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Courriel : </w:t>
      </w:r>
      <w:hyperlink w:history="1" r:id="rIdkjz5itguagn84gej8syar">
        <w:r>
          <w:rPr>
            <w:rStyle w:val="Hyperlink"/>
            <w:sz w:val="22"/>
            <w:szCs w:val="22"/>
          </w:rPr>
          <w:t xml:space="preserve">contact@projethalima.org</w:t>
        </w:r>
      </w:hyperlink>
      <w:r>
        <w:rPr>
          <w:color w:val="2C1810"/>
          <w:sz w:val="22"/>
          <w:szCs w:val="22"/>
        </w:rPr>
        <w:t xml:space="preserve">   ·   Site : </w:t>
      </w:r>
      <w:hyperlink w:history="1" r:id="rIdzmg9tvpnrxpl6eliujyvh">
        <w:r>
          <w:rPr>
            <w:rStyle w:val="Hyperlink"/>
            <w:sz w:val="22"/>
            <w:szCs w:val="22"/>
          </w:rPr>
          <w:t xml:space="preserve">projethalima.web.app</w:t>
        </w:r>
      </w:hyperlink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CFC4" w:sz="4" w:space="4"/>
      </w:pBdr>
      <w:tabs>
        <w:tab w:val="right" w:pos="9026"/>
      </w:tabs>
    </w:pPr>
    <w:r>
      <w:rPr>
        <w:color w:val="6B5A4E"/>
        <w:sz w:val="16"/>
        <w:szCs w:val="16"/>
      </w:rPr>
      <w:t xml:space="preserve">Projet Halima Seyni · contact@projethalima.org · projethalima.web.app</w:t>
    </w:r>
    <w:r>
      <w:rPr>
        <w:sz w:val="16"/>
        <w:szCs w:val="16"/>
      </w:rPr>
      <w:t xml:space="preserve">	</w:t>
    </w:r>
    <w:r>
      <w:rPr>
        <w:color w:val="6B5A4E"/>
        <w:sz w:val="16"/>
        <w:szCs w:val="16"/>
      </w:rPr>
      <w:t xml:space="preserve">Page </w:t>
    </w:r>
    <w:r>
      <w:rPr>
        <w:color w:val="6B5A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5A4E"/>
        <w:sz w:val="16"/>
        <w:szCs w:val="16"/>
      </w:rPr>
      <w:t xml:space="preserve"> · Juillet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CFC4" w:sz="4" w:space="4"/>
      </w:pBdr>
      <w:tabs>
        <w:tab w:val="right" w:pos="9026"/>
      </w:tabs>
    </w:pPr>
    <w:r>
      <w:rPr>
        <w:b/>
        <w:bCs/>
        <w:color w:val="6B5A4E"/>
        <w:sz w:val="18"/>
        <w:szCs w:val="18"/>
      </w:rPr>
      <w:t xml:space="preserve">PROJET HALIMA SEYNI</w:t>
    </w:r>
    <w:r>
      <w:rPr>
        <w:color w:val="6B5A4E"/>
        <w:sz w:val="18"/>
        <w:szCs w:val="18"/>
      </w:rPr>
      <w:t xml:space="preserve">	Fiche programme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181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2C181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A7A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jz5itguagn84gej8syar" Type="http://schemas.openxmlformats.org/officeDocument/2006/relationships/hyperlink" Target="mailto:contact@projethalima.org" TargetMode="External"/><Relationship Id="rIdzmg9tvpnrxpl6eliujyvh" Type="http://schemas.openxmlformats.org/officeDocument/2006/relationships/hyperlink" Target="https://projethalima.web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2026-07-09T05:53:17.882Z</dcterms:created>
  <dcterms:modified xsi:type="dcterms:W3CDTF">2026-07-09T05:53:17.882Z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