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Programmes de soutien à l’anglais — États-Unis &amp; Royaume-Uni</w:t>
      </w:r>
    </w:p>
    <w:p>
      <w:pPr>
        <w:spacing w:after="60" w:before="40"/>
      </w:pPr>
      <w:r>
        <w:rPr>
          <w:color w:val="4A7AFF"/>
          <w:sz w:val="18"/>
          <w:szCs w:val="18"/>
        </w:rPr>
        <w:t xml:space="preserve">● </w:t>
      </w:r>
      <w:r>
        <w:rPr>
          <w:b/>
          <w:bCs/>
          <w:caps/>
          <w:color w:val="4A7AFF"/>
          <w:sz w:val="20"/>
          <w:szCs w:val="20"/>
        </w:rPr>
        <w:t xml:space="preserve">Recherche vérifiée · Juillet 2026</w:t>
      </w:r>
    </w:p>
    <w:p>
      <w:pPr>
        <w:pBdr>
          <w:bottom w:val="single" w:color="4A7AFF" w:sz="6" w:space="1"/>
        </w:pBdr>
        <w:spacing w:after="240" w:before="60"/>
      </w:pPr>
    </w:p>
    <w:p>
      <w:pPr>
        <w:spacing w:after="160" w:before="0"/>
      </w:pPr>
      <w:r>
        <w:rPr>
          <w:color w:val="2C1810"/>
          <w:sz w:val="22"/>
          <w:szCs w:val="22"/>
        </w:rPr>
        <w:t xml:space="preserve">Panorama des programmes institutionnels américains et britanniques qui soutiennent l’apprentissage de l’anglais, avec ce qui est réellement accessible depuis le Niger pour une petite association. Ce document alimente la préparation du programme « Les Héros de l’Anglais ». Chaque fiche indique la démarche concrète et la source officielle.</w:t>
      </w:r>
    </w:p>
    <w:p>
      <w:pPr>
        <w:pStyle w:val="Heading2"/>
      </w:pPr>
      <w:r>
        <w:t xml:space="preserve">L’essentiel en quatre pistes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0"/>
        <w:gridCol w:w="3672"/>
        <w:gridCol w:w="2500"/>
      </w:tblGrid>
      <w:tr>
        <w:trPr>
          <w:tblHeader/>
        </w:trPr>
        <w:tc>
          <w:tcPr>
            <w:tcW w:type="dxa" w:w="2900"/>
            <w:tcBorders>
              <w:top w:val="single" w:color="D8CFC4" w:sz="1"/>
              <w:left w:val="single" w:color="D8CFC4" w:sz="1"/>
              <w:bottom w:val="single" w:color="D8CFC4" w:sz="1"/>
              <w:right w:val="single" w:color="D8CFC4" w:sz="1"/>
            </w:tcBorders>
            <w:shd w:fill="F5F0E8" w:val="clear"/>
            <w:tcMar>
              <w:top w:type="dxa" w:w="100"/>
              <w:left w:type="dxa" w:w="140"/>
              <w:bottom w:type="dxa" w:w="100"/>
              <w:right w:type="dxa" w:w="140"/>
            </w:tcMar>
          </w:tcPr>
          <w:p>
            <w:pPr>
              <w:spacing w:after="0"/>
            </w:pPr>
            <w:r>
              <w:rPr>
                <w:b/>
                <w:bCs/>
                <w:color w:val="6B5A4E"/>
                <w:sz w:val="20"/>
                <w:szCs w:val="20"/>
              </w:rPr>
              <w:t xml:space="preserve">Opportunité</w:t>
            </w:r>
          </w:p>
        </w:tc>
        <w:tc>
          <w:tcPr>
            <w:tcW w:type="dxa" w:w="3672"/>
            <w:tcBorders>
              <w:top w:val="single" w:color="D8CFC4" w:sz="1"/>
              <w:left w:val="single" w:color="D8CFC4" w:sz="1"/>
              <w:bottom w:val="single" w:color="D8CFC4" w:sz="1"/>
              <w:right w:val="single" w:color="D8CFC4" w:sz="1"/>
            </w:tcBorders>
            <w:shd w:fill="F5F0E8" w:val="clear"/>
            <w:tcMar>
              <w:top w:type="dxa" w:w="100"/>
              <w:left w:type="dxa" w:w="140"/>
              <w:bottom w:type="dxa" w:w="100"/>
              <w:right w:type="dxa" w:w="140"/>
            </w:tcMar>
          </w:tcPr>
          <w:p>
            <w:pPr>
              <w:spacing w:after="0"/>
            </w:pPr>
            <w:r>
              <w:rPr>
                <w:b/>
                <w:bCs/>
                <w:color w:val="6B5A4E"/>
                <w:sz w:val="20"/>
                <w:szCs w:val="20"/>
              </w:rPr>
              <w:t xml:space="preserve">Ce que c’est</w:t>
            </w:r>
          </w:p>
        </w:tc>
        <w:tc>
          <w:tcPr>
            <w:tcW w:type="dxa" w:w="2500"/>
            <w:tcBorders>
              <w:top w:val="single" w:color="D8CFC4" w:sz="1"/>
              <w:left w:val="single" w:color="D8CFC4" w:sz="1"/>
              <w:bottom w:val="single" w:color="D8CFC4" w:sz="1"/>
              <w:right w:val="single" w:color="D8CFC4" w:sz="1"/>
            </w:tcBorders>
            <w:shd w:fill="F5F0E8" w:val="clear"/>
            <w:tcMar>
              <w:top w:type="dxa" w:w="100"/>
              <w:left w:type="dxa" w:w="140"/>
              <w:bottom w:type="dxa" w:w="100"/>
              <w:right w:type="dxa" w:w="140"/>
            </w:tcMar>
          </w:tcPr>
          <w:p>
            <w:pPr>
              <w:spacing w:after="0"/>
            </w:pPr>
            <w:r>
              <w:rPr>
                <w:b/>
                <w:bCs/>
                <w:color w:val="6B5A4E"/>
                <w:sz w:val="20"/>
                <w:szCs w:val="20"/>
              </w:rPr>
              <w:t xml:space="preserve">Première démarche</w:t>
            </w:r>
          </w:p>
        </w:tc>
      </w:tr>
      <w:tr>
        <w:tc>
          <w:tcPr>
            <w:tcW w:type="dxa" w:w="29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0"/>
                <w:szCs w:val="20"/>
              </w:rPr>
              <w:t xml:space="preserve">1. Subventions « Diplomatie Publique » (Ambassade É.-U., Niamey)</w:t>
            </w:r>
          </w:p>
        </w:tc>
        <w:tc>
          <w:tcPr>
            <w:tcW w:type="dxa" w:w="3672"/>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0"/>
                <w:szCs w:val="20"/>
              </w:rPr>
              <w:t xml:space="preserve">Petites subventions aux associations nigériennes, candidatures toute l’année</w:t>
            </w:r>
          </w:p>
        </w:tc>
        <w:tc>
          <w:tcPr>
            <w:tcW w:type="dxa" w:w="25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0"/>
                <w:szCs w:val="20"/>
              </w:rPr>
              <w:t xml:space="preserve">Écrire à NiameyPD@state.gov</w:t>
            </w:r>
          </w:p>
        </w:tc>
      </w:tr>
      <w:tr>
        <w:tc>
          <w:tcPr>
            <w:tcW w:type="dxa" w:w="29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0"/>
                <w:szCs w:val="20"/>
              </w:rPr>
              <w:t xml:space="preserve">2. American Corners (Niamey, Maradi, Zinder, Agadez)</w:t>
            </w:r>
          </w:p>
        </w:tc>
        <w:tc>
          <w:tcPr>
            <w:tcW w:type="dxa" w:w="3672"/>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0"/>
                <w:szCs w:val="20"/>
              </w:rPr>
              <w:t xml:space="preserve">Espaces culturels américains avec programmes d’anglais — partenariats d’activités</w:t>
            </w:r>
          </w:p>
        </w:tc>
        <w:tc>
          <w:tcPr>
            <w:tcW w:type="dxa" w:w="25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0"/>
                <w:szCs w:val="20"/>
              </w:rPr>
              <w:t xml:space="preserve">Visiter l’American Corner de Maradi</w:t>
            </w:r>
          </w:p>
        </w:tc>
      </w:tr>
      <w:tr>
        <w:tc>
          <w:tcPr>
            <w:tcW w:type="dxa" w:w="29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0"/>
                <w:szCs w:val="20"/>
              </w:rPr>
              <w:t xml:space="preserve">3. English Connects (British Council)</w:t>
            </w:r>
          </w:p>
        </w:tc>
        <w:tc>
          <w:tcPr>
            <w:tcW w:type="dxa" w:w="3672"/>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0"/>
                <w:szCs w:val="20"/>
              </w:rPr>
              <w:t xml:space="preserve">Formation gratuite des enseignants d’anglais — le Niger est couvert</w:t>
            </w:r>
          </w:p>
        </w:tc>
        <w:tc>
          <w:tcPr>
            <w:tcW w:type="dxa" w:w="25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0"/>
                <w:szCs w:val="20"/>
              </w:rPr>
              <w:t xml:space="preserve">Inscrire les enseignants partenaires (gratuit)</w:t>
            </w:r>
          </w:p>
        </w:tc>
      </w:tr>
      <w:tr>
        <w:tc>
          <w:tcPr>
            <w:tcW w:type="dxa" w:w="29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0"/>
                <w:szCs w:val="20"/>
              </w:rPr>
              <w:t xml:space="preserve">4. English Access (Département d’État) — objectif moyen terme</w:t>
            </w:r>
          </w:p>
        </w:tc>
        <w:tc>
          <w:tcPr>
            <w:tcW w:type="dxa" w:w="3672"/>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0"/>
                <w:szCs w:val="20"/>
              </w:rPr>
              <w:t xml:space="preserve">Bourses d’anglais de 2 ans pour jeunes défavorisés, mises en œuvre par des ONG locales</w:t>
            </w:r>
          </w:p>
        </w:tc>
        <w:tc>
          <w:tcPr>
            <w:tcW w:type="dxa" w:w="25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0"/>
                <w:szCs w:val="20"/>
              </w:rPr>
              <w:t xml:space="preserve">Bâtir 3 ans d’expérience documentée, puis concourir</w:t>
            </w:r>
          </w:p>
        </w:tc>
      </w:tr>
    </w:tbl>
    <w:p>
      <w:pPr>
        <w:pStyle w:val="Heading2"/>
      </w:pPr>
      <w:r>
        <w:t xml:space="preserve">Côté États-Unis</w:t>
      </w:r>
    </w:p>
    <w:p>
      <w:pPr>
        <w:pStyle w:val="Heading3"/>
      </w:pPr>
      <w:r>
        <w:t xml:space="preserve">1. Subventions de la Section Diplomatie Publique (PDS) — Ambassade des É.-U. à Niamey</w:t>
      </w:r>
    </w:p>
    <w:p>
      <w:pPr>
        <w:spacing w:after="160" w:before="0"/>
      </w:pPr>
      <w:r>
        <w:rPr>
          <w:color w:val="2C1810"/>
          <w:sz w:val="22"/>
          <w:szCs w:val="22"/>
        </w:rPr>
        <w:t xml:space="preserve">La piste la plus réaliste et la plus directe. L’ambassade finance chaque année des projets d’associations nigériennes enregistrées (subventions, montants fixes ou accords de coopération, projets de 12 mois maximum). Les candidatures sont acceptées toute l’année. Conditions clés : association enregistrée, compte bancaire et gestion financière démontrable, un « élément culturel américain » ou un lien avec des experts/institutions américaines, un public nigérien. Les partenariats et le cofinancement sont valorisés.</w:t>
      </w:r>
    </w:p>
    <w:p>
      <w:pPr>
        <w:pStyle w:val="ListParagraph"/>
        <w:numPr>
          <w:ilvl w:val="0"/>
          <w:numId w:val="2"/>
        </w:numPr>
        <w:spacing w:after="80"/>
      </w:pPr>
      <w:r>
        <w:rPr>
          <w:color w:val="2C1810"/>
          <w:sz w:val="22"/>
          <w:szCs w:val="22"/>
        </w:rPr>
        <w:t xml:space="preserve">Précédent encourageant : l’American Corner de Niamey est géré par une association nigérienne (AVEC) financée par le Département d’État — la preuve qu’une association locale peut gagner ces financements.</w:t>
      </w:r>
    </w:p>
    <w:p>
      <w:pPr>
        <w:pStyle w:val="ListParagraph"/>
        <w:numPr>
          <w:ilvl w:val="0"/>
          <w:numId w:val="2"/>
        </w:numPr>
        <w:spacing w:after="80"/>
      </w:pPr>
      <w:r>
        <w:rPr>
          <w:color w:val="2C1810"/>
          <w:sz w:val="22"/>
          <w:szCs w:val="22"/>
        </w:rPr>
        <w:t xml:space="preserve">Montants exacts non publiés pour le Niger (programmes comparables dans la région : 5 000 à 50 000 USD) — à confirmer en demandant le modèle de proposition à </w:t>
      </w:r>
      <w:hyperlink w:history="1" r:id="rIdfqxi3chwnnon4vzwuzop1">
        <w:r>
          <w:rPr>
            <w:rStyle w:val="Hyperlink"/>
            <w:sz w:val="22"/>
            <w:szCs w:val="22"/>
          </w:rPr>
          <w:t xml:space="preserve">NiameyPD@state.gov</w:t>
        </w:r>
      </w:hyperlink>
      <w:r>
        <w:rPr>
          <w:color w:val="2C1810"/>
          <w:sz w:val="22"/>
          <w:szCs w:val="22"/>
        </w:rPr>
        <w:t xml:space="preserve">.</w:t>
      </w:r>
    </w:p>
    <w:p>
      <w:pPr>
        <w:pStyle w:val="ListParagraph"/>
        <w:numPr>
          <w:ilvl w:val="0"/>
          <w:numId w:val="2"/>
        </w:numPr>
        <w:spacing w:after="80"/>
      </w:pPr>
      <w:r>
        <w:rPr>
          <w:color w:val="2C1810"/>
          <w:sz w:val="22"/>
          <w:szCs w:val="22"/>
        </w:rPr>
        <w:t xml:space="preserve">Source : </w:t>
      </w:r>
      <w:hyperlink w:history="1" r:id="rId3omtge61dcr4vypjgrhs3">
        <w:r>
          <w:rPr>
            <w:rStyle w:val="Hyperlink"/>
            <w:sz w:val="22"/>
            <w:szCs w:val="22"/>
          </w:rPr>
          <w:t xml:space="preserve">Annual Program Statement — ne.usembassy.gov</w:t>
        </w:r>
      </w:hyperlink>
    </w:p>
    <w:p>
      <w:pPr>
        <w:pStyle w:val="Heading3"/>
      </w:pPr>
      <w:r>
        <w:t xml:space="preserve">2. American Corners — dont un à Maradi</w:t>
      </w:r>
    </w:p>
    <w:p>
      <w:pPr>
        <w:spacing w:after="160" w:before="0"/>
      </w:pPr>
      <w:r>
        <w:rPr>
          <w:color w:val="2C1810"/>
          <w:sz w:val="22"/>
          <w:szCs w:val="22"/>
        </w:rPr>
        <w:t xml:space="preserve">Le Niger compte quatre « American Corners » (Niamey, Maradi, Zinder, Agadez) : espaces culturels financés par l’ambassade, avec bibliothèque et programme d’anglais (American English Language Program à Niamey). Celui de Maradi est dans la ville même où Halima enseignait l’anglais — un partenariat d’activités (clubs d’anglais, concours, lectures bilingues dans nos bibliothèques) y aurait un sens particulier.</w:t>
      </w:r>
    </w:p>
    <w:p>
      <w:pPr>
        <w:pStyle w:val="ListParagraph"/>
        <w:numPr>
          <w:ilvl w:val="0"/>
          <w:numId w:val="2"/>
        </w:numPr>
        <w:spacing w:after="80"/>
      </w:pPr>
      <w:r>
        <w:rPr>
          <w:color w:val="2C1810"/>
          <w:sz w:val="22"/>
          <w:szCs w:val="22"/>
        </w:rPr>
        <w:t xml:space="preserve">Source : </w:t>
      </w:r>
      <w:hyperlink w:history="1" r:id="rIdv08hs0ynzyztr6z0dsddd">
        <w:r>
          <w:rPr>
            <w:rStyle w:val="Hyperlink"/>
            <w:sz w:val="22"/>
            <w:szCs w:val="22"/>
          </w:rPr>
          <w:t xml:space="preserve">American Spaces — ne.usembassy.gov</w:t>
        </w:r>
      </w:hyperlink>
    </w:p>
    <w:p>
      <w:pPr>
        <w:pStyle w:val="Heading3"/>
      </w:pPr>
      <w:r>
        <w:t xml:space="preserve">3. English Access Scholarship Program — l’objectif de moyen terme</w:t>
      </w:r>
    </w:p>
    <w:p>
      <w:pPr>
        <w:spacing w:after="160" w:before="0"/>
      </w:pPr>
      <w:r>
        <w:rPr>
          <w:color w:val="2C1810"/>
          <w:sz w:val="22"/>
          <w:szCs w:val="22"/>
        </w:rPr>
        <w:t xml:space="preserve">Le programme phare du Département d’État : deux ans de cours d’anglais (après l’école + sessions intensives) pour des jeunes de 13 à 20 ans issus de milieux défavorisés, actif dans plus de 85 pays. Il est mis en œuvre localement par des ONG sélectionnées par concours de l’ambassade. Conditions typiques : environ trois ans d’expérience documentée dans des programmes éducatifs ou d’anglais, un coordinateur dédié, des enseignants formés (méthodologies TESOL), un compte bancaire séparé. Point important vérifié : aucune trace d’un programme Access au Niger à ce jour — le lancer supposerait de convaincre l’ambassade d’ouvrir le pays au programme, avec une ONG locale crédible prête à le porter. C’est exactement la forme aboutie que pourrait prendre « Les Héros de l’Anglais » : chaque activité documentée d’ici là construit ce dossier.</w:t>
      </w:r>
    </w:p>
    <w:p>
      <w:pPr>
        <w:pStyle w:val="ListParagraph"/>
        <w:numPr>
          <w:ilvl w:val="0"/>
          <w:numId w:val="2"/>
        </w:numPr>
        <w:spacing w:after="80"/>
      </w:pPr>
      <w:r>
        <w:rPr>
          <w:color w:val="2C1810"/>
          <w:sz w:val="22"/>
          <w:szCs w:val="22"/>
        </w:rPr>
        <w:t xml:space="preserve">Source : </w:t>
      </w:r>
      <w:hyperlink w:history="1" r:id="rIdnnzn6mma48m-touwgn6dv">
        <w:r>
          <w:rPr>
            <w:rStyle w:val="Hyperlink"/>
            <w:sz w:val="22"/>
            <w:szCs w:val="22"/>
          </w:rPr>
          <w:t xml:space="preserve">English Access Program — exchanges.state.gov</w:t>
        </w:r>
      </w:hyperlink>
    </w:p>
    <w:p>
      <w:pPr>
        <w:pStyle w:val="Heading3"/>
      </w:pPr>
      <w:r>
        <w:t xml:space="preserve">4. Gratuit et immédiat : ressources et formations en ligne</w:t>
      </w:r>
    </w:p>
    <w:p>
      <w:pPr>
        <w:pStyle w:val="ListParagraph"/>
        <w:numPr>
          <w:ilvl w:val="0"/>
          <w:numId w:val="2"/>
        </w:numPr>
        <w:spacing w:after="80"/>
      </w:pPr>
      <w:r>
        <w:rPr>
          <w:b/>
          <w:bCs/>
          <w:color w:val="2C1810"/>
          <w:sz w:val="22"/>
          <w:szCs w:val="22"/>
        </w:rPr>
        <w:t xml:space="preserve">OPEN Program</w:t>
      </w:r>
      <w:r>
        <w:rPr>
          <w:color w:val="2C1810"/>
          <w:sz w:val="22"/>
          <w:szCs w:val="22"/>
        </w:rPr>
        <w:t xml:space="preserve"> — cours en ligne gratuits (8 semaines) pour enseignants d’anglais étrangers, financés par le Département d’État : </w:t>
      </w:r>
      <w:hyperlink w:history="1" r:id="rId7mdgofki0m-jhu7f3brwx">
        <w:r>
          <w:rPr>
            <w:rStyle w:val="Hyperlink"/>
            <w:sz w:val="22"/>
            <w:szCs w:val="22"/>
          </w:rPr>
          <w:t xml:space="preserve">openenglishprograms.org</w:t>
        </w:r>
      </w:hyperlink>
    </w:p>
    <w:p>
      <w:pPr>
        <w:pStyle w:val="ListParagraph"/>
        <w:numPr>
          <w:ilvl w:val="0"/>
          <w:numId w:val="2"/>
        </w:numPr>
        <w:spacing w:after="80"/>
      </w:pPr>
      <w:r>
        <w:rPr>
          <w:b/>
          <w:bCs/>
          <w:color w:val="2C1810"/>
          <w:sz w:val="22"/>
          <w:szCs w:val="22"/>
        </w:rPr>
        <w:t xml:space="preserve">American English</w:t>
      </w:r>
      <w:r>
        <w:rPr>
          <w:color w:val="2C1810"/>
          <w:sz w:val="22"/>
          <w:szCs w:val="22"/>
        </w:rPr>
        <w:t xml:space="preserve"> — matériels pédagogiques gratuits (jeux, livres, supports) : </w:t>
      </w:r>
      <w:hyperlink w:history="1" r:id="rIdkk-jsrz6rd92vybw9ymaf">
        <w:r>
          <w:rPr>
            <w:rStyle w:val="Hyperlink"/>
            <w:sz w:val="22"/>
            <w:szCs w:val="22"/>
          </w:rPr>
          <w:t xml:space="preserve">americanenglish.state.gov</w:t>
        </w:r>
      </w:hyperlink>
    </w:p>
    <w:p>
      <w:pPr>
        <w:pStyle w:val="ListParagraph"/>
        <w:numPr>
          <w:ilvl w:val="0"/>
          <w:numId w:val="2"/>
        </w:numPr>
        <w:spacing w:after="80"/>
      </w:pPr>
      <w:r>
        <w:rPr>
          <w:b/>
          <w:bCs/>
          <w:color w:val="2C1810"/>
          <w:sz w:val="22"/>
          <w:szCs w:val="22"/>
        </w:rPr>
        <w:t xml:space="preserve">EducationUSA Niamey</w:t>
      </w:r>
      <w:r>
        <w:rPr>
          <w:color w:val="2C1810"/>
          <w:sz w:val="22"/>
          <w:szCs w:val="22"/>
        </w:rPr>
        <w:t xml:space="preserve"> — conseil gratuit pour étudier aux É.-U., basé à l’American Corner de Niamey ; co-organisation d’événements envisageable : </w:t>
      </w:r>
      <w:hyperlink w:history="1" r:id="rId2vfo6jxoxpul7ixakbdiv">
        <w:r>
          <w:rPr>
            <w:rStyle w:val="Hyperlink"/>
            <w:sz w:val="22"/>
            <w:szCs w:val="22"/>
          </w:rPr>
          <w:t xml:space="preserve">educationusa.state.gov</w:t>
        </w:r>
      </w:hyperlink>
    </w:p>
    <w:p>
      <w:pPr>
        <w:pStyle w:val="ListParagraph"/>
        <w:numPr>
          <w:ilvl w:val="0"/>
          <w:numId w:val="2"/>
        </w:numPr>
        <w:spacing w:after="80"/>
      </w:pPr>
      <w:r>
        <w:rPr>
          <w:b/>
          <w:bCs/>
          <w:color w:val="2C1810"/>
          <w:sz w:val="22"/>
          <w:szCs w:val="22"/>
        </w:rPr>
        <w:t xml:space="preserve">Échanges individuels</w:t>
      </w:r>
      <w:r>
        <w:rPr>
          <w:color w:val="2C1810"/>
          <w:sz w:val="22"/>
          <w:szCs w:val="22"/>
        </w:rPr>
        <w:t xml:space="preserve"> — SUSI (enseignants du secondaire), Fulbright (étudiants/chercheurs nigériens, cycle 2027-2028 ouvert), Mandela Washington Fellowship (leaders de 25-35 ans) : opportunités personnelles pour les membres et enseignants partenaires. Contact : </w:t>
      </w:r>
      <w:hyperlink w:history="1" r:id="rIdyzwxge4kmgu9nadeg4j0p">
        <w:r>
          <w:rPr>
            <w:rStyle w:val="Hyperlink"/>
            <w:sz w:val="22"/>
            <w:szCs w:val="22"/>
          </w:rPr>
          <w:t xml:space="preserve">NigerExchanges@state.gov</w:t>
        </w:r>
      </w:hyperlink>
    </w:p>
    <w:p>
      <w:pPr>
        <w:pStyle w:val="Heading3"/>
      </w:pPr>
      <w:r>
        <w:t xml:space="preserve">5. Contexte américain à connaître (juillet 2026)</w:t>
      </w:r>
    </w:p>
    <w:p>
      <w:pPr>
        <w:spacing w:after="160" w:before="0"/>
      </w:pPr>
      <w:r>
        <w:rPr>
          <w:color w:val="2C1810"/>
          <w:sz w:val="22"/>
          <w:szCs w:val="22"/>
        </w:rPr>
        <w:t xml:space="preserve">Les relations É.-U.–Niger restent instables depuis 2023 : assistance gouvernementale restreinte, retrait militaire (2024), suspensions réciproques de visas (début 2026) et alertes sécuritaires à l’ambassade. Mais les programmes de diplomatie publique (subventions PDS, American Corners, échanges) ont continué sans interruption documentée — ils visent la société civile, pas le gouvernement. Conséquence pratique pour « Les Héros de l’Anglais » : privilégier des formats locaux et virtuels ; ne pas fonder le programme sur des voyages É.-U.–Niger à court terme.</w:t>
      </w:r>
    </w:p>
    <w:p>
      <w:pPr>
        <w:pStyle w:val="Heading2"/>
      </w:pPr>
      <w:r>
        <w:t xml:space="preserve">Côté Royaume-Uni</w:t>
      </w:r>
    </w:p>
    <w:p>
      <w:pPr>
        <w:pStyle w:val="Heading3"/>
      </w:pPr>
      <w:r>
        <w:t xml:space="preserve">1. British Council — English Connects</w:t>
      </w:r>
    </w:p>
    <w:p>
      <w:pPr>
        <w:spacing w:after="160" w:before="0"/>
      </w:pPr>
      <w:r>
        <w:rPr>
          <w:color w:val="2C1810"/>
          <w:sz w:val="22"/>
          <w:szCs w:val="22"/>
        </w:rPr>
        <w:t xml:space="preserve">Programme du British Council pour l’Afrique francophone (et lusophone), dont le Niger fait explicitement partie : des formateurs nigériens ont été formés à distance par des experts britanniques, puis ont formé en cascade les enseignants du secondaire, avec des communautés de pratique en ligne (plus de 4 970 enseignants touchés dans la région). Gratuit. C’est le meilleur canal britannique pour renforcer les enseignants qui porteront « Les Héros de l’Anglais ».</w:t>
      </w:r>
    </w:p>
    <w:p>
      <w:pPr>
        <w:pStyle w:val="ListParagraph"/>
        <w:numPr>
          <w:ilvl w:val="0"/>
          <w:numId w:val="2"/>
        </w:numPr>
        <w:spacing w:after="80"/>
      </w:pPr>
      <w:r>
        <w:rPr>
          <w:color w:val="2C1810"/>
          <w:sz w:val="22"/>
          <w:szCs w:val="22"/>
        </w:rPr>
        <w:t xml:space="preserve">Sources : </w:t>
      </w:r>
      <w:hyperlink w:history="1" r:id="rIdj-qdwt8s2tftfr1d0gekp">
        <w:r>
          <w:rPr>
            <w:rStyle w:val="Hyperlink"/>
            <w:sz w:val="22"/>
            <w:szCs w:val="22"/>
          </w:rPr>
          <w:t xml:space="preserve">English Connects — britishcouncil.org</w:t>
        </w:r>
      </w:hyperlink>
      <w:r>
        <w:rPr>
          <w:color w:val="2C1810"/>
          <w:sz w:val="22"/>
          <w:szCs w:val="22"/>
        </w:rPr>
        <w:t xml:space="preserve">  ·  ressources gratuites : </w:t>
      </w:r>
      <w:hyperlink w:history="1" r:id="rId33seynyjk5emmhil0lmjs">
        <w:r>
          <w:rPr>
            <w:rStyle w:val="Hyperlink"/>
            <w:sz w:val="22"/>
            <w:szCs w:val="22"/>
          </w:rPr>
          <w:t xml:space="preserve">africa.teachingenglish.org.uk</w:t>
        </w:r>
      </w:hyperlink>
    </w:p>
    <w:p>
      <w:pPr>
        <w:pStyle w:val="Heading3"/>
      </w:pPr>
      <w:r>
        <w:t xml:space="preserve">2. Hornby Trust — bourses et micro-financements</w:t>
      </w:r>
    </w:p>
    <w:p>
      <w:pPr>
        <w:spacing w:after="160" w:before="0"/>
      </w:pPr>
      <w:r>
        <w:rPr>
          <w:color w:val="2C1810"/>
          <w:sz w:val="22"/>
          <w:szCs w:val="22"/>
        </w:rPr>
        <w:t xml:space="preserve">Fondation britannique dédiée à l’enseignement de l’anglais dans les pays du Sud : bourses de Master TESOL au Royaume-Uni pour enseignants, et « Teacher Association Project Awards » (une quinzaine de petits projets financés par an, plus des aides d’environ 500 £ pour des événements). Particularité : ces financements passent par les associations d’enseignants d’anglais — or le Niger n’en a aucune répertoriée dans les annuaires TESOL/Africa ELTA à ce jour. Opportunité à moyen terme : fédérer les enseignants d’anglais partenaires de Projet Halima et contribuer à créer une association nationale (affiliée au réseau continental Africa ELTA), ce qui ouvrirait l’accès à ces fonds.</w:t>
      </w:r>
    </w:p>
    <w:p>
      <w:pPr>
        <w:pStyle w:val="ListParagraph"/>
        <w:numPr>
          <w:ilvl w:val="0"/>
          <w:numId w:val="2"/>
        </w:numPr>
        <w:spacing w:after="80"/>
      </w:pPr>
      <w:r>
        <w:rPr>
          <w:color w:val="2C1810"/>
          <w:sz w:val="22"/>
          <w:szCs w:val="22"/>
        </w:rPr>
        <w:t xml:space="preserve">Sources : </w:t>
      </w:r>
      <w:hyperlink w:history="1" r:id="rIdgls-icryt4duc8vsx_n8h">
        <w:r>
          <w:rPr>
            <w:rStyle w:val="Hyperlink"/>
            <w:sz w:val="22"/>
            <w:szCs w:val="22"/>
          </w:rPr>
          <w:t xml:space="preserve">hornby-trust.org.uk</w:t>
        </w:r>
      </w:hyperlink>
      <w:r>
        <w:rPr>
          <w:color w:val="2C1810"/>
          <w:sz w:val="22"/>
          <w:szCs w:val="22"/>
        </w:rPr>
        <w:t xml:space="preserve">  ·  </w:t>
      </w:r>
      <w:hyperlink w:history="1" r:id="rIdcy_muia98doenrgd8fp58">
        <w:r>
          <w:rPr>
            <w:rStyle w:val="Hyperlink"/>
            <w:sz w:val="22"/>
            <w:szCs w:val="22"/>
          </w:rPr>
          <w:t xml:space="preserve">Africa ELTA</w:t>
        </w:r>
      </w:hyperlink>
    </w:p>
    <w:p>
      <w:pPr>
        <w:pStyle w:val="Heading3"/>
      </w:pPr>
      <w:r>
        <w:t xml:space="preserve">3. BBC Learning English</w:t>
      </w:r>
    </w:p>
    <w:p>
      <w:pPr>
        <w:spacing w:after="160" w:before="0"/>
      </w:pPr>
      <w:r>
        <w:rPr>
          <w:color w:val="2C1810"/>
          <w:sz w:val="22"/>
          <w:szCs w:val="22"/>
        </w:rPr>
        <w:t xml:space="preserve">Ressources gratuites d’apprentissage (audio, vidéo, leçons graduées) utilisables sans accord ni partenariat — utiles dès le premier club d’anglais.</w:t>
      </w:r>
    </w:p>
    <w:p>
      <w:pPr>
        <w:pStyle w:val="ListParagraph"/>
        <w:numPr>
          <w:ilvl w:val="0"/>
          <w:numId w:val="2"/>
        </w:numPr>
        <w:spacing w:after="80"/>
      </w:pPr>
      <w:r>
        <w:rPr>
          <w:color w:val="2C1810"/>
          <w:sz w:val="22"/>
          <w:szCs w:val="22"/>
        </w:rPr>
        <w:t xml:space="preserve">Source : </w:t>
      </w:r>
      <w:hyperlink w:history="1" r:id="rIducdxbuev4se7ojgv-hwmd">
        <w:r>
          <w:rPr>
            <w:rStyle w:val="Hyperlink"/>
            <w:sz w:val="22"/>
            <w:szCs w:val="22"/>
          </w:rPr>
          <w:t xml:space="preserve">bbc.co.uk/learningenglish</w:t>
        </w:r>
      </w:hyperlink>
    </w:p>
    <w:p>
      <w:pPr>
        <w:pStyle w:val="Heading2"/>
      </w:pPr>
      <w:r>
        <w:t xml:space="preserve">Feuille de route suggérée</w:t>
      </w:r>
    </w:p>
    <w:p>
      <w:pPr>
        <w:pStyle w:val="ListParagraph"/>
        <w:numPr>
          <w:ilvl w:val="0"/>
          <w:numId w:val="3"/>
        </w:numPr>
        <w:spacing w:after="100"/>
      </w:pPr>
      <w:r>
        <w:rPr>
          <w:b/>
          <w:bCs/>
          <w:color w:val="2C1810"/>
          <w:sz w:val="22"/>
          <w:szCs w:val="22"/>
        </w:rPr>
        <w:t xml:space="preserve">Officialiser l’association</w:t>
      </w:r>
      <w:r>
        <w:rPr>
          <w:color w:val="2C1810"/>
          <w:sz w:val="22"/>
          <w:szCs w:val="22"/>
        </w:rPr>
        <w:t xml:space="preserve"> — préalable à presque toutes les portes ci-dessus (les subventions exigent une association enregistrée avec un compte bancaire).</w:t>
      </w:r>
    </w:p>
    <w:p>
      <w:pPr>
        <w:pStyle w:val="ListParagraph"/>
        <w:numPr>
          <w:ilvl w:val="0"/>
          <w:numId w:val="3"/>
        </w:numPr>
        <w:spacing w:after="100"/>
      </w:pPr>
      <w:r>
        <w:rPr>
          <w:b/>
          <w:bCs/>
          <w:color w:val="2C1810"/>
          <w:sz w:val="22"/>
          <w:szCs w:val="22"/>
        </w:rPr>
        <w:t xml:space="preserve">Prendre contact sur le terrain</w:t>
      </w:r>
      <w:r>
        <w:rPr>
          <w:color w:val="2C1810"/>
          <w:sz w:val="22"/>
          <w:szCs w:val="22"/>
        </w:rPr>
        <w:t xml:space="preserve"> — visiter l’American Corner de Maradi et celui de Niamey ; rencontrer l’association AVEC qui gère ce dernier — apprendre de leur parcours.</w:t>
      </w:r>
    </w:p>
    <w:p>
      <w:pPr>
        <w:pStyle w:val="ListParagraph"/>
        <w:numPr>
          <w:ilvl w:val="0"/>
          <w:numId w:val="3"/>
        </w:numPr>
        <w:spacing w:after="100"/>
      </w:pPr>
      <w:r>
        <w:rPr>
          <w:b/>
          <w:bCs/>
          <w:color w:val="2C1810"/>
          <w:sz w:val="22"/>
          <w:szCs w:val="22"/>
        </w:rPr>
        <w:t xml:space="preserve">Candidater aux subventions PDS</w:t>
      </w:r>
      <w:r>
        <w:rPr>
          <w:color w:val="2C1810"/>
          <w:sz w:val="22"/>
          <w:szCs w:val="22"/>
        </w:rPr>
        <w:t xml:space="preserve"> — demander le modèle de proposition à NiameyPD@state.gov et viser une première petite subvention : un concours d’anglais inter-écoles ou des clubs de lecture bilingues dans les bibliothèques existantes cochent toutes les cases (élément américain possible via matériels/intervenants, public nigérien, 12 mois).</w:t>
      </w:r>
    </w:p>
    <w:p>
      <w:pPr>
        <w:pStyle w:val="ListParagraph"/>
        <w:numPr>
          <w:ilvl w:val="0"/>
          <w:numId w:val="3"/>
        </w:numPr>
        <w:spacing w:after="100"/>
      </w:pPr>
      <w:r>
        <w:rPr>
          <w:b/>
          <w:bCs/>
          <w:color w:val="2C1810"/>
          <w:sz w:val="22"/>
          <w:szCs w:val="22"/>
        </w:rPr>
        <w:t xml:space="preserve">Former les enseignants gratuitement</w:t>
      </w:r>
      <w:r>
        <w:rPr>
          <w:color w:val="2C1810"/>
          <w:sz w:val="22"/>
          <w:szCs w:val="22"/>
        </w:rPr>
        <w:t xml:space="preserve"> — inscrire dès maintenant les enseignants partenaires à English Connects (British Council) et à l’OPEN Program — gratuit, sans condition, et cela crédibilise le dossier.</w:t>
      </w:r>
    </w:p>
    <w:p>
      <w:pPr>
        <w:pStyle w:val="ListParagraph"/>
        <w:numPr>
          <w:ilvl w:val="0"/>
          <w:numId w:val="3"/>
        </w:numPr>
        <w:spacing w:after="100"/>
      </w:pPr>
      <w:r>
        <w:rPr>
          <w:b/>
          <w:bCs/>
          <w:color w:val="2C1810"/>
          <w:sz w:val="22"/>
          <w:szCs w:val="22"/>
        </w:rPr>
        <w:t xml:space="preserve">Documenter systématiquement</w:t>
      </w:r>
      <w:r>
        <w:rPr>
          <w:color w:val="2C1810"/>
          <w:sz w:val="22"/>
          <w:szCs w:val="22"/>
        </w:rPr>
        <w:t xml:space="preserve"> — chaque activité comptée, photographiée et archivée construit les « trois ans d’expérience » exigés pour devenir partenaire de mise en œuvre du programme English Access.</w:t>
      </w:r>
    </w:p>
    <w:p>
      <w:pPr>
        <w:pStyle w:val="ListParagraph"/>
        <w:numPr>
          <w:ilvl w:val="0"/>
          <w:numId w:val="3"/>
        </w:numPr>
        <w:spacing w:after="100"/>
      </w:pPr>
      <w:r>
        <w:rPr>
          <w:b/>
          <w:bCs/>
          <w:color w:val="2C1810"/>
          <w:sz w:val="22"/>
          <w:szCs w:val="22"/>
        </w:rPr>
        <w:t xml:space="preserve">Viser le moyen terme</w:t>
      </w:r>
      <w:r>
        <w:rPr>
          <w:color w:val="2C1810"/>
          <w:sz w:val="22"/>
          <w:szCs w:val="22"/>
        </w:rPr>
        <w:t xml:space="preserve"> — une fois l’expérience établie : concourir pour Access ; en parallèle, aider à structurer une association nigérienne d’enseignants d’anglais pour débloquer les financements Hornby.</w:t>
      </w:r>
    </w:p>
    <w:p>
      <w:pPr>
        <w:spacing w:after="160" w:before="0"/>
      </w:pPr>
      <w:r>
        <w:rPr>
          <w:color w:val="2C1810"/>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8CFC4" w:sz="1"/>
              <w:left w:val="single" w:color="B7791F" w:sz="24"/>
              <w:bottom w:val="single" w:color="D8CFC4" w:sz="1"/>
              <w:right w:val="single" w:color="D8CFC4" w:sz="1"/>
            </w:tcBorders>
            <w:shd w:fill="FDFAF5" w:val="clear"/>
            <w:tcMar>
              <w:top w:type="dxa" w:w="140"/>
              <w:left w:type="dxa" w:w="200"/>
              <w:bottom w:type="dxa" w:w="140"/>
              <w:right w:type="dxa" w:w="200"/>
            </w:tcMar>
          </w:tcPr>
          <w:p>
            <w:pPr>
              <w:spacing w:after="0"/>
            </w:pPr>
            <w:r>
              <w:rPr>
                <w:i/>
                <w:iCs/>
                <w:color w:val="6B5A4E"/>
                <w:sz w:val="20"/>
                <w:szCs w:val="20"/>
              </w:rPr>
              <w:t xml:space="preserve">Mises en garde : les montants des subventions PDS pour le Niger ne sont pas publiés — tout confirmer auprès de l’ambassade avant de budgétiser. Le contexte diplomatique évolue vite (suspensions de visas début 2026) : re-vérifier l’état des programmes avant chaque candidature. Enfin, ne citer publiquement aucun partenaire institutionnel sans accord écrit — règle déjà posée dans la note de concept « Les Héros de l’Anglais ».</w:t>
            </w:r>
          </w:p>
        </w:tc>
      </w:tr>
    </w:tbl>
    <w:p>
      <w:pPr>
        <w:spacing w:after="160" w:before="0"/>
      </w:pPr>
      <w:r>
        <w:rPr>
          <w:color w:val="2C1810"/>
          <w:sz w:val="22"/>
          <w:szCs w:val="22"/>
        </w:rPr>
        <w:t xml:space="preserve"/>
      </w:r>
    </w:p>
    <w:p>
      <w:pPr>
        <w:pStyle w:val="Heading2"/>
      </w:pPr>
      <w:r>
        <w:t xml:space="preserve">Contact</w:t>
      </w:r>
    </w:p>
    <w:p>
      <w:pPr>
        <w:spacing w:after="160" w:before="0"/>
      </w:pPr>
      <w:r>
        <w:rPr>
          <w:color w:val="2C1810"/>
          <w:sz w:val="22"/>
          <w:szCs w:val="22"/>
        </w:rPr>
        <w:t xml:space="preserve">Courriel : </w:t>
      </w:r>
      <w:hyperlink w:history="1" r:id="rId4cv4fiovtvfassudbe5sm">
        <w:r>
          <w:rPr>
            <w:rStyle w:val="Hyperlink"/>
            <w:sz w:val="22"/>
            <w:szCs w:val="22"/>
          </w:rPr>
          <w:t xml:space="preserve">contact@projethalima.org</w:t>
        </w:r>
      </w:hyperlink>
      <w:r>
        <w:rPr>
          <w:color w:val="2C1810"/>
          <w:sz w:val="22"/>
          <w:szCs w:val="22"/>
        </w:rPr>
        <w:t xml:space="preserve">   ·   Site : </w:t>
      </w:r>
      <w:hyperlink w:history="1" r:id="rIdujtxxuwinmh7pjyqgl6v8">
        <w:r>
          <w:rPr>
            <w:rStyle w:val="Hyperlink"/>
            <w:sz w:val="22"/>
            <w:szCs w:val="22"/>
          </w:rPr>
          <w:t xml:space="preserve">projethalima.web.app</w:t>
        </w:r>
      </w:hyperlink>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C4" w:sz="4" w:space="4"/>
      </w:pBdr>
      <w:tabs>
        <w:tab w:val="right" w:pos="9026"/>
      </w:tabs>
    </w:pPr>
    <w:r>
      <w:rPr>
        <w:color w:val="6B5A4E"/>
        <w:sz w:val="16"/>
        <w:szCs w:val="16"/>
      </w:rPr>
      <w:t xml:space="preserve">Projet Halima · contact@projethalima.org · projethalima.web.app</w:t>
    </w:r>
    <w:r>
      <w:rPr>
        <w:sz w:val="16"/>
        <w:szCs w:val="16"/>
      </w:rPr>
      <w:t xml:space="preserve">	</w:t>
    </w:r>
    <w:r>
      <w:rPr>
        <w:color w:val="6B5A4E"/>
        <w:sz w:val="16"/>
        <w:szCs w:val="16"/>
      </w:rPr>
      <w:t xml:space="preserve">Page </w:t>
    </w:r>
    <w:r>
      <w:rPr>
        <w:color w:val="6B5A4E"/>
        <w:sz w:val="16"/>
        <w:szCs w:val="16"/>
      </w:rPr>
      <w:fldChar w:fldCharType="begin"/>
      <w:instrText xml:space="preserve">PAGE</w:instrText>
      <w:fldChar w:fldCharType="separate"/>
      <w:fldChar w:fldCharType="end"/>
    </w:r>
    <w:r>
      <w:rPr>
        <w:color w:val="6B5A4E"/>
        <w:sz w:val="16"/>
        <w:szCs w:val="16"/>
      </w:rPr>
      <w:t xml:space="preserve"> · Juillet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FC4" w:sz="4" w:space="4"/>
      </w:pBdr>
      <w:tabs>
        <w:tab w:val="right" w:pos="9026"/>
      </w:tabs>
    </w:pPr>
    <w:r>
      <w:rPr>
        <w:b/>
        <w:bCs/>
        <w:color w:val="6B5A4E"/>
        <w:sz w:val="18"/>
        <w:szCs w:val="18"/>
      </w:rPr>
      <w:t xml:space="preserve">PROJET HALIMA</w:t>
    </w:r>
    <w:r>
      <w:rPr>
        <w:color w:val="6B5A4E"/>
        <w:sz w:val="18"/>
        <w:szCs w:val="18"/>
      </w:rPr>
      <w:t xml:space="preserve">	Annexe — Les Héros de l’Anglais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18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2C1810"/>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4A7AF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181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qxi3chwnnon4vzwuzop1" Type="http://schemas.openxmlformats.org/officeDocument/2006/relationships/hyperlink" Target="mailto:NiameyPD@state.gov" TargetMode="External"/><Relationship Id="rId3omtge61dcr4vypjgrhs3" Type="http://schemas.openxmlformats.org/officeDocument/2006/relationships/hyperlink" Target="https://ne.usembassy.gov/pr12309884/" TargetMode="External"/><Relationship Id="rIdv08hs0ynzyztr6z0dsddd" Type="http://schemas.openxmlformats.org/officeDocument/2006/relationships/hyperlink" Target="https://ne.usembassy.gov/education/american-spaces/" TargetMode="External"/><Relationship Id="rIdnnzn6mma48m-touwgn6dv" Type="http://schemas.openxmlformats.org/officeDocument/2006/relationships/hyperlink" Target="https://exchanges.state.gov/non-us/program/english-access-microscholarship-program" TargetMode="External"/><Relationship Id="rId7mdgofki0m-jhu7f3brwx" Type="http://schemas.openxmlformats.org/officeDocument/2006/relationships/hyperlink" Target="https://www.openenglishprograms.org/" TargetMode="External"/><Relationship Id="rIdkk-jsrz6rd92vybw9ymaf" Type="http://schemas.openxmlformats.org/officeDocument/2006/relationships/hyperlink" Target="https://americanenglish.state.gov/" TargetMode="External"/><Relationship Id="rId2vfo6jxoxpul7ixakbdiv" Type="http://schemas.openxmlformats.org/officeDocument/2006/relationships/hyperlink" Target="https://educationusa.state.gov/centers/educationusa-niamey" TargetMode="External"/><Relationship Id="rIdyzwxge4kmgu9nadeg4j0p" Type="http://schemas.openxmlformats.org/officeDocument/2006/relationships/hyperlink" Target="mailto:NigerExchanges@state.gov" TargetMode="External"/><Relationship Id="rIdj-qdwt8s2tftfr1d0gekp" Type="http://schemas.openxmlformats.org/officeDocument/2006/relationships/hyperlink" Target="https://www.britishcouncil.org/english-connects" TargetMode="External"/><Relationship Id="rId33seynyjk5emmhil0lmjs" Type="http://schemas.openxmlformats.org/officeDocument/2006/relationships/hyperlink" Target="https://africa.teachingenglish.org.uk/" TargetMode="External"/><Relationship Id="rIdgls-icryt4duc8vsx_n8h" Type="http://schemas.openxmlformats.org/officeDocument/2006/relationships/hyperlink" Target="https://www.hornby-trust.org.uk/" TargetMode="External"/><Relationship Id="rIdcy_muia98doenrgd8fp58" Type="http://schemas.openxmlformats.org/officeDocument/2006/relationships/hyperlink" Target="https://www.africaelta.org/" TargetMode="External"/><Relationship Id="rIducdxbuev4se7ojgv-hwmd" Type="http://schemas.openxmlformats.org/officeDocument/2006/relationships/hyperlink" Target="https://www.bbc.co.uk/learningenglish" TargetMode="External"/><Relationship Id="rId4cv4fiovtvfassudbe5sm" Type="http://schemas.openxmlformats.org/officeDocument/2006/relationships/hyperlink" Target="mailto:contact@projethalima.org" TargetMode="External"/><Relationship Id="rIdujtxxuwinmh7pjyqgl6v8" Type="http://schemas.openxmlformats.org/officeDocument/2006/relationships/hyperlink" Target="https://projethalima.web.app"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2026-07-07T21:07:49.815Z</dcterms:created>
  <dcterms:modified xsi:type="dcterms:W3CDTF">2026-07-07T21:07:49.816Z</dcterms:modified>
</cp:coreProperties>
</file>

<file path=docProps/custom.xml><?xml version="1.0" encoding="utf-8"?>
<Properties xmlns="http://schemas.openxmlformats.org/officeDocument/2006/custom-properties" xmlns:vt="http://schemas.openxmlformats.org/officeDocument/2006/docPropsVTypes"/>
</file>