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Fonds Halima — Santé (Diabète)</w:t>
      </w:r>
    </w:p>
    <w:p>
      <w:pPr>
        <w:spacing w:after="60" w:before="40"/>
      </w:pPr>
      <w:r>
        <w:rPr>
          <w:color w:val="2E7D4F"/>
          <w:sz w:val="18"/>
          <w:szCs w:val="18"/>
        </w:rPr>
        <w:t xml:space="preserve">● </w:t>
      </w:r>
      <w:r>
        <w:rPr>
          <w:b/>
          <w:bCs/>
          <w:caps/>
          <w:color w:val="2E7D4F"/>
          <w:sz w:val="20"/>
          <w:szCs w:val="20"/>
        </w:rPr>
        <w:t xml:space="preserve">Actif · Chaque année</w:t>
      </w:r>
    </w:p>
    <w:p>
      <w:pPr>
        <w:pBdr>
          <w:bottom w:val="single" w:color="4A7AFF" w:sz="6" w:space="1"/>
        </w:pBdr>
        <w:spacing w:after="240" w:before="60"/>
      </w:pPr>
    </w:p>
    <w:p>
      <w:pPr>
        <w:spacing w:after="160" w:before="0"/>
      </w:pPr>
      <w:r>
        <w:rPr>
          <w:color w:val="2C1810"/>
          <w:sz w:val="22"/>
          <w:szCs w:val="22"/>
        </w:rPr>
        <w:t xml:space="preserve">Le cœur de Projet Halima aujourd’hui. Halima, notre mère, a été emportée par le diabète en 2005. Chaque année, en sa mémoire, notre famille accompagne des personnes vivant avec le diabète au Niger — pour que ce qui nous l’a prise coûte moins aux autres.</w:t>
      </w:r>
    </w:p>
    <w:p>
      <w:pPr>
        <w:pStyle w:val="Heading2"/>
      </w:pPr>
      <w:r>
        <w:t xml:space="preserve">En résumé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Mission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Accompagner chaque année des personnes vivant avec le diabète au Niger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Bénéficiaires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20 à 30 personnes par an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Zone d’intervention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Niger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Statut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Actif — reconduit chaque année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Financement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Fonds propres de la famille (à ce jour)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Origine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Commemoration de Halima, décédée du diabète en 2005</w:t>
            </w:r>
          </w:p>
        </w:tc>
      </w:tr>
    </w:tbl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Soutien direct à 20 à 30 personnes vivant avec le diabète chaque année (soins et fournitures).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i/>
          <w:iCs/>
          <w:color w:val="2C1810"/>
          <w:sz w:val="22"/>
          <w:szCs w:val="22"/>
        </w:rPr>
        <w:t xml:space="preserve">Détail des prestations à préciser dans ce document : médicaments, matériel de suivi, consultations, sensibilisation…</w:t>
      </w:r>
    </w:p>
    <w:p>
      <w:pPr>
        <w:pStyle w:val="Heading2"/>
      </w:pPr>
      <w:r>
        <w:t xml:space="preserve">Fonctionnement annuel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072"/>
        <w:gridCol w:w="1600"/>
      </w:tblGrid>
      <w:tr>
        <w:trPr>
          <w:tblHeader/>
        </w:trP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Étape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Période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Identification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Sélection des bénéficiaires de l’année (critères à formaliser)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À préciser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Accompagnement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Distribution des soins et fournitures aux bénéficiaires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À préciser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Bilan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Bilan annuel : bénéficiaires, dépenses, photos, leçons (voir modèle de bilan annuel)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Fin d’année</w:t>
            </w:r>
          </w:p>
        </w:tc>
      </w:tr>
    </w:tbl>
    <w:p>
      <w:pPr>
        <w:pStyle w:val="Heading2"/>
      </w:pPr>
      <w:r>
        <w:t xml:space="preserve">Pourquoi documenter chaque année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La constance de ce programme est notre meilleur argument auprès des futurs partenaires et bailleurs : une famille qui soutient 20 à 30 personnes chaque année, sur ses fonds propres, démontre un engagement réel. Chaque année doit donc laisser une trace écrite : nombre de bénéficiaires, dépenses, photos datées, reçus. Utiliser le « Modèle de bilan annuel » fourni avec cette fiche, et reconstituer si possible les bilans des années passées.</w:t>
      </w:r>
    </w:p>
    <w:p>
      <w:pPr>
        <w:pStyle w:val="Heading2"/>
      </w:pPr>
      <w:r>
        <w:t xml:space="preserve">Perspectives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Officialisation de l’association (récépissé au Niger), permettant un compte bancaire dédié et des partenariats formels.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Accès à des financements extérieurs (mécénat, fonds « American Friends » via un sponsor fiscal américain).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Montée en charge progressive : plus de bénéficiaires, suivi médical renforcé, sensibilisation communautaire au dépistage.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odpon6yg1aobzk9sqtxk0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cr6y95lc7ftbfauigtuko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</w:t>
    </w:r>
    <w:r>
      <w:rPr>
        <w:color w:val="6B5A4E"/>
        <w:sz w:val="18"/>
        <w:szCs w:val="18"/>
      </w:rPr>
      <w:t xml:space="preserve">	Fiche programme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dpon6yg1aobzk9sqtxk0" Type="http://schemas.openxmlformats.org/officeDocument/2006/relationships/hyperlink" Target="mailto:contact@projethalima.org" TargetMode="External"/><Relationship Id="rIdcr6y95lc7ftbfauigtuko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2026-07-07T21:07:49.725Z</dcterms:created>
  <dcterms:modified xsi:type="dcterms:W3CDTF">2026-07-07T21:07:49.725Z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