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Lecture &amp; Bibliothèques</w:t>
      </w:r>
    </w:p>
    <w:p>
      <w:pPr>
        <w:spacing w:after="60" w:before="40"/>
      </w:pPr>
      <w:r>
        <w:rPr>
          <w:color w:val="B7791F"/>
          <w:sz w:val="18"/>
          <w:szCs w:val="18"/>
        </w:rPr>
        <w:t xml:space="preserve">● </w:t>
      </w:r>
      <w:r>
        <w:rPr>
          <w:b/>
          <w:bCs/>
          <w:caps/>
          <w:color w:val="B7791F"/>
          <w:sz w:val="20"/>
          <w:szCs w:val="20"/>
        </w:rPr>
        <w:t xml:space="preserve">Réalisé 2019–2021 · En recherche de financements pour reprendre</w:t>
      </w:r>
    </w:p>
    <w:p>
      <w:pPr>
        <w:pBdr>
          <w:bottom w:val="single" w:color="4A7AFF" w:sz="6" w:space="1"/>
        </w:pBdr>
        <w:spacing w:after="240" w:before="60"/>
      </w:pPr>
    </w:p>
    <w:p>
      <w:pPr>
        <w:spacing w:after="160" w:before="0"/>
      </w:pPr>
      <w:r>
        <w:rPr>
          <w:i w:val="false"/>
          <w:iCs w:val="false"/>
          <w:color w:val="2C1810"/>
          <w:sz w:val="22"/>
          <w:szCs w:val="22"/>
        </w:rPr>
        <w:t xml:space="preserve">Programme fondateur de Projet Halima, mené en hommage à Halima, notre mère, professeure d’anglais dévouée à Maradi. Son métier nous a transmis une conviction simple : le savoir est une responsabilité.</w:t>
      </w:r>
    </w:p>
    <w:p>
      <w:pPr>
        <w:pStyle w:val="Heading2"/>
      </w:pPr>
      <w:r>
        <w:t xml:space="preserve">En résumé</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28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Mission</w:t>
            </w:r>
          </w:p>
        </w:tc>
        <w:tc>
          <w:tcPr>
            <w:tcW w:type="dxa" w:w="6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2"/>
                <w:szCs w:val="22"/>
              </w:rPr>
              <w:t xml:space="preserve">Promouvoir la lecture dans les écoles primaires et les collèges</w:t>
            </w:r>
          </w:p>
        </w:tc>
      </w:tr>
      <w:tr>
        <w:tc>
          <w:tcPr>
            <w:tcW w:type="dxa" w:w="28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Zones d’intervention</w:t>
            </w:r>
          </w:p>
        </w:tc>
        <w:tc>
          <w:tcPr>
            <w:tcW w:type="dxa" w:w="6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2"/>
                <w:szCs w:val="22"/>
              </w:rPr>
              <w:t xml:space="preserve">Régions de Maradi et de Tillabéri (zones rurales), Niger</w:t>
            </w:r>
          </w:p>
        </w:tc>
      </w:tr>
      <w:tr>
        <w:tc>
          <w:tcPr>
            <w:tcW w:type="dxa" w:w="28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Bénéficiaires</w:t>
            </w:r>
          </w:p>
        </w:tc>
        <w:tc>
          <w:tcPr>
            <w:tcW w:type="dxa" w:w="6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2"/>
                <w:szCs w:val="22"/>
              </w:rPr>
              <w:t xml:space="preserve">Élèves du primaire et du collège, enseignants, communautés villageoises</w:t>
            </w:r>
          </w:p>
        </w:tc>
      </w:tr>
      <w:tr>
        <w:tc>
          <w:tcPr>
            <w:tcW w:type="dxa" w:w="28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Période d’activité</w:t>
            </w:r>
          </w:p>
        </w:tc>
        <w:tc>
          <w:tcPr>
            <w:tcW w:type="dxa" w:w="6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2"/>
                <w:szCs w:val="22"/>
              </w:rPr>
              <w:t xml:space="preserve">2019 – 2021</w:t>
            </w:r>
          </w:p>
        </w:tc>
      </w:tr>
      <w:tr>
        <w:tc>
          <w:tcPr>
            <w:tcW w:type="dxa" w:w="28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Statut actuel</w:t>
            </w:r>
          </w:p>
        </w:tc>
        <w:tc>
          <w:tcPr>
            <w:tcW w:type="dxa" w:w="6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2"/>
                <w:szCs w:val="22"/>
              </w:rPr>
              <w:t xml:space="preserve">En pause faute de financements — relance recherchée</w:t>
            </w:r>
          </w:p>
        </w:tc>
      </w:tr>
      <w:tr>
        <w:tc>
          <w:tcPr>
            <w:tcW w:type="dxa" w:w="28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Financement passé</w:t>
            </w:r>
          </w:p>
        </w:tc>
        <w:tc>
          <w:tcPr>
            <w:tcW w:type="dxa" w:w="6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color w:val="2C1810"/>
                <w:sz w:val="22"/>
                <w:szCs w:val="22"/>
              </w:rPr>
              <w:t xml:space="preserve">Fonds propres de la famille</w:t>
            </w:r>
          </w:p>
        </w:tc>
      </w:tr>
    </w:tbl>
    <w:p>
      <w:pPr>
        <w:pStyle w:val="Heading2"/>
      </w:pPr>
      <w:r>
        <w:t xml:space="preserve">Le problème</w:t>
      </w:r>
    </w:p>
    <w:p>
      <w:pPr>
        <w:spacing w:after="160" w:before="0"/>
      </w:pPr>
      <w:r>
        <w:rPr>
          <w:color w:val="2C1810"/>
          <w:sz w:val="22"/>
          <w:szCs w:val="22"/>
        </w:rPr>
        <w:t xml:space="preserve">Au Niger, une grande partie des enfants en âge scolaire sont déscolarisés ou n’ont pas accès aux livres. Là où des livres arrivent, ils se dégradent vite s’il n’existe pas de culture d’entretien : distribuer ne suffit pas. Notre approche vise à rendre la lecture attractive et durable — pas seulement accessible.</w:t>
      </w:r>
    </w:p>
    <w:p>
      <w:pPr>
        <w:pStyle w:val="Heading2"/>
      </w:pPr>
      <w:r>
        <w:t xml:space="preserve">Réalisations (2019–2021)</w:t>
      </w:r>
    </w:p>
    <w:p>
      <w:pPr>
        <w:pStyle w:val="ListParagraph"/>
        <w:numPr>
          <w:ilvl w:val="0"/>
          <w:numId w:val="2"/>
        </w:numPr>
        <w:spacing w:after="80"/>
      </w:pPr>
      <w:r>
        <w:rPr>
          <w:color w:val="2C1810"/>
          <w:sz w:val="22"/>
          <w:szCs w:val="22"/>
        </w:rPr>
        <w:t xml:space="preserve">4 bibliothèques villageoises construites, dont Ndouga (région de Maradi) et Waagona (région de Tillabéri).</w:t>
      </w:r>
    </w:p>
    <w:p>
      <w:pPr>
        <w:pStyle w:val="ListParagraph"/>
        <w:numPr>
          <w:ilvl w:val="0"/>
          <w:numId w:val="2"/>
        </w:numPr>
        <w:spacing w:after="80"/>
      </w:pPr>
      <w:r>
        <w:rPr>
          <w:color w:val="2C1810"/>
          <w:sz w:val="22"/>
          <w:szCs w:val="22"/>
        </w:rPr>
        <w:t xml:space="preserve">Plus de 1 000 livres confiés aux écoles et aux communautés.</w:t>
      </w:r>
    </w:p>
    <w:p>
      <w:pPr>
        <w:pStyle w:val="ListParagraph"/>
        <w:numPr>
          <w:ilvl w:val="0"/>
          <w:numId w:val="2"/>
        </w:numPr>
        <w:spacing w:after="80"/>
      </w:pPr>
      <w:r>
        <w:rPr>
          <w:color w:val="2C1810"/>
          <w:sz w:val="22"/>
          <w:szCs w:val="22"/>
        </w:rPr>
        <w:t xml:space="preserve">Plus de 1 300 élèves touchés par les bibliothèques et les conférences.</w:t>
      </w:r>
    </w:p>
    <w:p>
      <w:pPr>
        <w:pStyle w:val="ListParagraph"/>
        <w:numPr>
          <w:ilvl w:val="0"/>
          <w:numId w:val="2"/>
        </w:numPr>
        <w:spacing w:after="80"/>
      </w:pPr>
      <w:r>
        <w:rPr>
          <w:color w:val="2C1810"/>
          <w:sz w:val="22"/>
          <w:szCs w:val="22"/>
        </w:rPr>
        <w:t xml:space="preserve">Plus de 50 écoles formées à la garde et à l’entretien des livres (« écoles gardiennes »).</w:t>
      </w:r>
    </w:p>
    <w:p>
      <w:pPr>
        <w:pStyle w:val="ListParagraph"/>
        <w:numPr>
          <w:ilvl w:val="0"/>
          <w:numId w:val="2"/>
        </w:numPr>
        <w:spacing w:after="80"/>
      </w:pPr>
      <w:r>
        <w:rPr>
          <w:color w:val="2C1810"/>
          <w:sz w:val="22"/>
          <w:szCs w:val="22"/>
        </w:rPr>
        <w:t xml:space="preserve">Nombreuses conférences de sensibilisation à la lecture dans les écoles primaires et les collèges.</w:t>
      </w:r>
    </w:p>
    <w:p>
      <w:pPr>
        <w:pStyle w:val="Heading2"/>
      </w:pPr>
      <w:r>
        <w:t xml:space="preserve">Notre méthode en quatre étapes</w:t>
      </w:r>
    </w:p>
    <w:p>
      <w:pPr>
        <w:pStyle w:val="ListParagraph"/>
        <w:numPr>
          <w:ilvl w:val="0"/>
          <w:numId w:val="3"/>
        </w:numPr>
        <w:spacing w:after="80"/>
      </w:pPr>
      <w:r>
        <w:rPr>
          <w:b/>
          <w:bCs/>
          <w:color w:val="2C1810"/>
          <w:sz w:val="22"/>
          <w:szCs w:val="22"/>
        </w:rPr>
        <w:t xml:space="preserve">Rencontrer les chefs</w:t>
      </w:r>
      <w:r>
        <w:rPr>
          <w:color w:val="2C1810"/>
          <w:sz w:val="22"/>
          <w:szCs w:val="22"/>
        </w:rPr>
        <w:t xml:space="preserve"> — nous commençons par les chefs de village et les anciens ; rien ne se construit sans confiance et adhésion locale.</w:t>
      </w:r>
    </w:p>
    <w:p>
      <w:pPr>
        <w:pStyle w:val="ListParagraph"/>
        <w:numPr>
          <w:ilvl w:val="0"/>
          <w:numId w:val="3"/>
        </w:numPr>
        <w:spacing w:after="80"/>
      </w:pPr>
      <w:r>
        <w:rPr>
          <w:b/>
          <w:bCs/>
          <w:color w:val="2C1810"/>
          <w:sz w:val="22"/>
          <w:szCs w:val="22"/>
        </w:rPr>
        <w:t xml:space="preserve">Réunir les acteurs</w:t>
      </w:r>
      <w:r>
        <w:rPr>
          <w:color w:val="2C1810"/>
          <w:sz w:val="22"/>
          <w:szCs w:val="22"/>
        </w:rPr>
        <w:t xml:space="preserve"> — enseignants, parents et responsables communautaires discutent de l’importance de la lecture avant l’arrivée du moindre livre.</w:t>
      </w:r>
    </w:p>
    <w:p>
      <w:pPr>
        <w:pStyle w:val="ListParagraph"/>
        <w:numPr>
          <w:ilvl w:val="0"/>
          <w:numId w:val="3"/>
        </w:numPr>
        <w:spacing w:after="80"/>
      </w:pPr>
      <w:r>
        <w:rPr>
          <w:b/>
          <w:bCs/>
          <w:color w:val="2C1810"/>
          <w:sz w:val="22"/>
          <w:szCs w:val="22"/>
        </w:rPr>
        <w:t xml:space="preserve">Construire la bibliothèque</w:t>
      </w:r>
      <w:r>
        <w:rPr>
          <w:color w:val="2C1810"/>
          <w:sz w:val="22"/>
          <w:szCs w:val="22"/>
        </w:rPr>
        <w:t xml:space="preserve"> — l’espace bibliothèque est construit avec la communauté, comme un engagement physique envers le savoir qui appartient au village.</w:t>
      </w:r>
    </w:p>
    <w:p>
      <w:pPr>
        <w:pStyle w:val="ListParagraph"/>
        <w:numPr>
          <w:ilvl w:val="0"/>
          <w:numId w:val="3"/>
        </w:numPr>
        <w:spacing w:after="80"/>
      </w:pPr>
      <w:r>
        <w:rPr>
          <w:b/>
          <w:bCs/>
          <w:color w:val="2C1810"/>
          <w:sz w:val="22"/>
          <w:szCs w:val="22"/>
        </w:rPr>
        <w:t xml:space="preserve">Former les gardiens</w:t>
      </w:r>
      <w:r>
        <w:rPr>
          <w:color w:val="2C1810"/>
          <w:sz w:val="22"/>
          <w:szCs w:val="22"/>
        </w:rPr>
        <w:t xml:space="preserve"> — les élèves sont formés aux protocoles d’entretien : manipuler, réparer, protéger — pour qu’une seule ressource serve une génération entière.</w:t>
      </w:r>
    </w:p>
    <w:p>
      <w:pPr>
        <w:pStyle w:val="Heading2"/>
      </w:pPr>
      <w:r>
        <w:t xml:space="preserve">Besoins pour la relance</w:t>
      </w:r>
    </w:p>
    <w:p>
      <w:pPr>
        <w:spacing w:after="160" w:before="0"/>
      </w:pPr>
      <w:r>
        <w:rPr>
          <w:color w:val="2C1810"/>
          <w:sz w:val="22"/>
          <w:szCs w:val="22"/>
        </w:rPr>
        <w:t xml:space="preserve">Budget estimatif à établir pour chaque poste ci-dessous (montants en FCFA)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4272"/>
        <w:gridCol w:w="1600"/>
      </w:tblGrid>
      <w:tr>
        <w:trPr>
          <w:tblHeader/>
        </w:trPr>
        <w:tc>
          <w:tcPr>
            <w:tcW w:type="dxa" w:w="32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Poste</w:t>
            </w:r>
          </w:p>
        </w:tc>
        <w:tc>
          <w:tcPr>
            <w:tcW w:type="dxa" w:w="4272"/>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Description</w:t>
            </w:r>
          </w:p>
        </w:tc>
        <w:tc>
          <w:tcPr>
            <w:tcW w:type="dxa" w:w="1600"/>
            <w:tcBorders>
              <w:top w:val="single" w:color="D8CFC4" w:sz="1"/>
              <w:left w:val="single" w:color="D8CFC4" w:sz="1"/>
              <w:bottom w:val="single" w:color="D8CFC4" w:sz="1"/>
              <w:right w:val="single" w:color="D8CFC4" w:sz="1"/>
            </w:tcBorders>
            <w:shd w:fill="F5F0E8" w:val="clear"/>
            <w:tcMar>
              <w:top w:type="dxa" w:w="100"/>
              <w:left w:type="dxa" w:w="140"/>
              <w:bottom w:type="dxa" w:w="100"/>
              <w:right w:type="dxa" w:w="140"/>
            </w:tcMar>
          </w:tcPr>
          <w:p>
            <w:pPr>
              <w:spacing w:after="0"/>
            </w:pPr>
            <w:r>
              <w:rPr>
                <w:b/>
                <w:bCs/>
                <w:color w:val="6B5A4E"/>
                <w:sz w:val="20"/>
                <w:szCs w:val="20"/>
              </w:rPr>
              <w:t xml:space="preserve">Montant estimé</w:t>
            </w:r>
          </w:p>
        </w:tc>
      </w:tr>
      <w:tr>
        <w:tc>
          <w:tcPr>
            <w:tcW w:type="dxa" w:w="32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Construction</w:t>
            </w:r>
          </w:p>
        </w:tc>
        <w:tc>
          <w:tcPr>
            <w:tcW w:type="dxa" w:w="4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Une nouvelle bibliothèque villageoise (matériaux, main-d’œuvre)</w:t>
            </w:r>
          </w:p>
        </w:tc>
        <w:tc>
          <w:tcPr>
            <w:tcW w:type="dxa" w:w="16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À chiffrer</w:t>
            </w:r>
          </w:p>
        </w:tc>
      </w:tr>
      <w:tr>
        <w:tc>
          <w:tcPr>
            <w:tcW w:type="dxa" w:w="32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Dotation en livres</w:t>
            </w:r>
          </w:p>
        </w:tc>
        <w:tc>
          <w:tcPr>
            <w:tcW w:type="dxa" w:w="4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Achat et acheminement des ouvrages (primaire et collège)</w:t>
            </w:r>
          </w:p>
        </w:tc>
        <w:tc>
          <w:tcPr>
            <w:tcW w:type="dxa" w:w="16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À chiffrer</w:t>
            </w:r>
          </w:p>
        </w:tc>
      </w:tr>
      <w:tr>
        <w:tc>
          <w:tcPr>
            <w:tcW w:type="dxa" w:w="32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Formation</w:t>
            </w:r>
          </w:p>
        </w:tc>
        <w:tc>
          <w:tcPr>
            <w:tcW w:type="dxa" w:w="4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Formation des élèves gardiens et des enseignants référents</w:t>
            </w:r>
          </w:p>
        </w:tc>
        <w:tc>
          <w:tcPr>
            <w:tcW w:type="dxa" w:w="16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À chiffrer</w:t>
            </w:r>
          </w:p>
        </w:tc>
      </w:tr>
      <w:tr>
        <w:tc>
          <w:tcPr>
            <w:tcW w:type="dxa" w:w="32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Suivi annuel</w:t>
            </w:r>
          </w:p>
        </w:tc>
        <w:tc>
          <w:tcPr>
            <w:tcW w:type="dxa" w:w="4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Visites de suivi, entretien, renouvellement des ouvrages</w:t>
            </w:r>
          </w:p>
        </w:tc>
        <w:tc>
          <w:tcPr>
            <w:tcW w:type="dxa" w:w="16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À chiffrer</w:t>
            </w:r>
          </w:p>
        </w:tc>
      </w:tr>
      <w:tr>
        <w:tc>
          <w:tcPr>
            <w:tcW w:type="dxa" w:w="32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Conférences</w:t>
            </w:r>
          </w:p>
        </w:tc>
        <w:tc>
          <w:tcPr>
            <w:tcW w:type="dxa" w:w="4272"/>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Sensibilisation dans les écoles de la zone</w:t>
            </w:r>
          </w:p>
        </w:tc>
        <w:tc>
          <w:tcPr>
            <w:tcW w:type="dxa" w:w="1600"/>
            <w:tcBorders>
              <w:top w:val="single" w:color="D8CFC4" w:sz="1"/>
              <w:left w:val="single" w:color="D8CFC4" w:sz="1"/>
              <w:bottom w:val="single" w:color="D8CFC4" w:sz="1"/>
              <w:right w:val="single" w:color="D8CFC4" w:sz="1"/>
            </w:tcBorders>
            <w:tcMar>
              <w:top w:type="dxa" w:w="100"/>
              <w:left w:type="dxa" w:w="140"/>
              <w:bottom w:type="dxa" w:w="100"/>
              <w:right w:type="dxa" w:w="140"/>
            </w:tcMar>
          </w:tcPr>
          <w:p>
            <w:pPr>
              <w:spacing w:after="0"/>
            </w:pPr>
            <w:r>
              <w:rPr>
                <w:b w:val="false"/>
                <w:bCs w:val="false"/>
                <w:color w:val="2C1810"/>
                <w:sz w:val="22"/>
                <w:szCs w:val="22"/>
              </w:rPr>
              <w:t xml:space="preserve">À chiffrer</w:t>
            </w:r>
          </w:p>
        </w:tc>
      </w:tr>
    </w:tbl>
    <w:p>
      <w:pPr>
        <w:spacing w:after="160" w:before="0"/>
      </w:pPr>
      <w:r>
        <w:rPr>
          <w:color w:val="2C1810"/>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8CFC4" w:sz="1"/>
              <w:left w:val="single" w:color="4A7AFF" w:sz="24"/>
              <w:bottom w:val="single" w:color="D8CFC4" w:sz="1"/>
              <w:right w:val="single" w:color="D8CFC4" w:sz="1"/>
            </w:tcBorders>
            <w:shd w:fill="FDFAF5" w:val="clear"/>
            <w:tcMar>
              <w:top w:type="dxa" w:w="140"/>
              <w:left w:type="dxa" w:w="200"/>
              <w:bottom w:type="dxa" w:w="140"/>
              <w:right w:type="dxa" w:w="200"/>
            </w:tcMar>
          </w:tcPr>
          <w:p>
            <w:pPr>
              <w:spacing w:after="0"/>
            </w:pPr>
            <w:r>
              <w:rPr>
                <w:i/>
                <w:iCs/>
                <w:color w:val="6B5A4E"/>
                <w:sz w:val="20"/>
                <w:szCs w:val="20"/>
              </w:rPr>
              <w:t xml:space="preserve">Les chiffres de réalisations (4 bibliothèques, 1 000+ livres, 1 300+ élèves, 50+ écoles) doivent pouvoir être justifiés auprès des bailleurs : rassembler photos, listes et dates pour chaque site dans un dossier d’archives.</w:t>
            </w:r>
          </w:p>
        </w:tc>
      </w:tr>
    </w:tbl>
    <w:p>
      <w:pPr>
        <w:pStyle w:val="Heading2"/>
      </w:pPr>
      <w:r>
        <w:t xml:space="preserve">Contact</w:t>
      </w:r>
    </w:p>
    <w:p>
      <w:pPr>
        <w:spacing w:after="160" w:before="0"/>
      </w:pPr>
      <w:r>
        <w:rPr>
          <w:color w:val="2C1810"/>
          <w:sz w:val="22"/>
          <w:szCs w:val="22"/>
        </w:rPr>
        <w:t xml:space="preserve">Courriel : </w:t>
      </w:r>
      <w:hyperlink w:history="1" r:id="rIdcoaus9wvvrbqx7cqzhdxs">
        <w:r>
          <w:rPr>
            <w:rStyle w:val="Hyperlink"/>
            <w:sz w:val="22"/>
            <w:szCs w:val="22"/>
          </w:rPr>
          <w:t xml:space="preserve">contact@projethalima.org</w:t>
        </w:r>
      </w:hyperlink>
      <w:r>
        <w:rPr>
          <w:color w:val="2C1810"/>
          <w:sz w:val="22"/>
          <w:szCs w:val="22"/>
        </w:rPr>
        <w:t xml:space="preserve">   ·   Site : </w:t>
      </w:r>
      <w:hyperlink w:history="1" r:id="rId-mco7rcrign-gevujtpua">
        <w:r>
          <w:rPr>
            <w:rStyle w:val="Hyperlink"/>
            <w:sz w:val="22"/>
            <w:szCs w:val="22"/>
          </w:rPr>
          <w:t xml:space="preserve">projethalima.web.app</w:t>
        </w:r>
      </w:hyperlink>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C4" w:sz="4" w:space="4"/>
      </w:pBdr>
      <w:tabs>
        <w:tab w:val="right" w:pos="9026"/>
      </w:tabs>
    </w:pPr>
    <w:r>
      <w:rPr>
        <w:color w:val="6B5A4E"/>
        <w:sz w:val="16"/>
        <w:szCs w:val="16"/>
      </w:rPr>
      <w:t xml:space="preserve">Projet Halima · contact@projethalima.org · projethalima.web.app</w:t>
    </w:r>
    <w:r>
      <w:rPr>
        <w:sz w:val="16"/>
        <w:szCs w:val="16"/>
      </w:rPr>
      <w:t xml:space="preserve">	</w:t>
    </w:r>
    <w:r>
      <w:rPr>
        <w:color w:val="6B5A4E"/>
        <w:sz w:val="16"/>
        <w:szCs w:val="16"/>
      </w:rPr>
      <w:t xml:space="preserve">Page </w:t>
    </w:r>
    <w:r>
      <w:rPr>
        <w:color w:val="6B5A4E"/>
        <w:sz w:val="16"/>
        <w:szCs w:val="16"/>
      </w:rPr>
      <w:fldChar w:fldCharType="begin"/>
      <w:instrText xml:space="preserve">PAGE</w:instrText>
      <w:fldChar w:fldCharType="separate"/>
      <w:fldChar w:fldCharType="end"/>
    </w:r>
    <w:r>
      <w:rPr>
        <w:color w:val="6B5A4E"/>
        <w:sz w:val="16"/>
        <w:szCs w:val="16"/>
      </w:rPr>
      <w:t xml:space="preserve"> · Juillet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C4" w:sz="4" w:space="4"/>
      </w:pBdr>
      <w:tabs>
        <w:tab w:val="right" w:pos="9026"/>
      </w:tabs>
    </w:pPr>
    <w:r>
      <w:rPr>
        <w:b/>
        <w:bCs/>
        <w:color w:val="6B5A4E"/>
        <w:sz w:val="18"/>
        <w:szCs w:val="18"/>
      </w:rPr>
      <w:t xml:space="preserve">PROJET HALIMA</w:t>
    </w:r>
    <w:r>
      <w:rPr>
        <w:color w:val="6B5A4E"/>
        <w:sz w:val="18"/>
        <w:szCs w:val="18"/>
      </w:rPr>
      <w:t xml:space="preserve">	Fiche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2C18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7A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oaus9wvvrbqx7cqzhdxs" Type="http://schemas.openxmlformats.org/officeDocument/2006/relationships/hyperlink" Target="mailto:contact@projethalima.org" TargetMode="External"/><Relationship Id="rId-mco7rcrign-gevujtpua" Type="http://schemas.openxmlformats.org/officeDocument/2006/relationships/hyperlink" Target="https://projethalima.web.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2026-07-07T21:07:49.721Z</dcterms:created>
  <dcterms:modified xsi:type="dcterms:W3CDTF">2026-07-07T21:07:49.722Z</dcterms:modified>
</cp:coreProperties>
</file>

<file path=docProps/custom.xml><?xml version="1.0" encoding="utf-8"?>
<Properties xmlns="http://schemas.openxmlformats.org/officeDocument/2006/custom-properties" xmlns:vt="http://schemas.openxmlformats.org/officeDocument/2006/docPropsVTypes"/>
</file>