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Fonds Halima — Santé (Diabète)</w:t>
      </w:r>
    </w:p>
    <w:p>
      <w:pPr>
        <w:spacing w:after="60" w:before="40"/>
      </w:pPr>
      <w:r>
        <w:rPr>
          <w:color w:val="2E7D4F"/>
          <w:sz w:val="18"/>
          <w:szCs w:val="18"/>
        </w:rPr>
        <w:t xml:space="preserve">● </w:t>
      </w:r>
      <w:r>
        <w:rPr>
          <w:b/>
          <w:bCs/>
          <w:caps/>
          <w:color w:val="2E7D4F"/>
          <w:sz w:val="20"/>
          <w:szCs w:val="20"/>
        </w:rPr>
        <w:t xml:space="preserve">Actif · Chaque année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Le cœur de Projet Halima Seyni aujourd’hui. Halima, notre mère, a été emportée par le diabète en 2005. Chaque année, en sa mémoire, notre famille accompagne des personnes vivant avec le diabète au Niger — pour que ce qui nous l’a prise coûte moins aux autres.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Accompagner chaque année des personnes vivant avec le diabète au 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20 à 30 personnes par an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Accompagnées à ce jour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Plus de 50 personnes sur les deux dernières années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Zone d’intervention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Actif — reconduit chaque année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Fonds propres de la famille (à ce jour)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Origine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Commémoration de Halima, décédée du diabète en 2005</w:t>
            </w:r>
          </w:p>
        </w:tc>
      </w:tr>
    </w:tbl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Soutien direct à 20 à 30 personnes vivant avec le diabète chaque année (soins et fournitures).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2C1810"/>
          <w:sz w:val="22"/>
          <w:szCs w:val="22"/>
        </w:rPr>
        <w:t xml:space="preserve">Détail des prestations à préciser dans ce document : médicaments, matériel de suivi, consultations, sensibilisation…</w:t>
      </w:r>
    </w:p>
    <w:p>
      <w:pPr>
        <w:pStyle w:val="Heading2"/>
      </w:pPr>
      <w:r>
        <w:t xml:space="preserve">Fonctionnement annuel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72"/>
        <w:gridCol w:w="1600"/>
      </w:tblGrid>
      <w:tr>
        <w:trPr>
          <w:tblHeader/>
        </w:trP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Étape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Période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Identification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Sélection des bénéficiaires de l’année (critères à formaliser)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Accompagnement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Distribution des soins et fournitures aux bénéficiaires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 annuel : bénéficiaires, dépenses, photos, leçons (voir modèle de bilan annuel)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Fin d’année</w:t>
            </w:r>
          </w:p>
        </w:tc>
      </w:tr>
    </w:tbl>
    <w:p>
      <w:pPr>
        <w:pStyle w:val="Heading2"/>
      </w:pPr>
      <w:r>
        <w:t xml:space="preserve">Pourquoi documenter chaque année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La constance de ce programme est notre meilleur argument auprès des futurs partenaires et bailleurs : une famille qui soutient 20 à 30 personnes chaque année — plus de 50 personnes sur les deux dernières années — sur ses fonds propres, démontre un engagement réel. Chaque année doit donc laisser une trace écrite : nombre de bénéficiaires, dépenses, photos datées, reçus. Utiliser le « Modèle de bilan annuel » fourni avec cette fiche, et reconstituer si possible les bilans des années passées.</w:t>
      </w:r>
    </w:p>
    <w:p>
      <w:pPr>
        <w:pStyle w:val="Heading2"/>
      </w:pPr>
      <w:r>
        <w:t xml:space="preserve">Perspectives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Officialisation de l’association (récépissé au Niger), permettant un compte bancaire dédié et des partenariats formels.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Accès à des financements extérieurs (mécénat, fonds « American Friends » via un sponsor fiscal américain).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Montée en charge progressive : plus de bénéficiaires, suivi médical renforcé, sensibilisation communautaire au dépistage.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41yvmkoyqwshntfbibyne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euaixxc4ealy14x6jgmk4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Seyni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 SEYNI</w:t>
    </w:r>
    <w:r>
      <w:rPr>
        <w:color w:val="6B5A4E"/>
        <w:sz w:val="18"/>
        <w:szCs w:val="18"/>
      </w:rPr>
      <w:t xml:space="preserve">	Fiche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1yvmkoyqwshntfbibyne" Type="http://schemas.openxmlformats.org/officeDocument/2006/relationships/hyperlink" Target="mailto:contact@projethalima.org" TargetMode="External"/><Relationship Id="rIdeuaixxc4ealy14x6jgmk4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2026-07-09T05:24:14.599Z</dcterms:created>
  <dcterms:modified xsi:type="dcterms:W3CDTF">2026-07-09T05:24:14.599Z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