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Projet Raspberry Temperature</w:t>
        <w:br/>
      </w:r>
      <w:r>
        <w:rPr>
          <w:b/>
        </w:rPr>
        <w:t>Chronologie technique et synthèse des étapes réalisées</w:t>
      </w:r>
    </w:p>
    <w:p>
      <w:pPr>
        <w:jc w:val="center"/>
      </w:pPr>
      <w:r>
        <w:rPr>
          <w:i/>
        </w:rPr>
        <w:t>Environnement local • Kedro • MLOps • Azure • Azure SQL • Power BI</w:t>
      </w:r>
    </w:p>
    <w:p>
      <w:pPr>
        <w:pStyle w:val="Heading1"/>
      </w:pPr>
      <w:r>
        <w:t>1. Objectif du projet</w:t>
      </w:r>
    </w:p>
    <w:p>
      <w:r>
        <w:t>Construire une chaîne MLOps permettant de recevoir des mesures de température, de les traiter avec Kedro, de produire des prédictions avec un modèle de machine learning, de stocker les résultats et de les visualiser dans Power BI. Une évolution majeure a consisté à migrer la persistance de production de DuckDB vers Azure SQL.</w:t>
      </w:r>
    </w:p>
    <w:p>
      <w:pPr>
        <w:pStyle w:val="Heading1"/>
      </w:pPr>
      <w:r>
        <w:t>2. Mise en place de l’environnement local</w:t>
      </w:r>
    </w:p>
    <w:p>
      <w:r>
        <w:t>Le projet a été développé sous Windows dans D:\raspberry_temperature avec un environnement .venv et uv. Python 3.14 est utilisé. Les principales briques sont Kedro, pandas, scikit-learn, Celery, Azure Event Hub, Azure Service Bus, Azure Blob Storage, SQLAlchemy, pyodbc et MLflow.</w:t>
      </w:r>
    </w:p>
    <w:p>
      <w:pPr>
        <w:pStyle w:val="Heading2"/>
      </w:pPr>
      <w:r>
        <w:t>2.1 Pipelines Kedro</w:t>
      </w:r>
    </w:p>
    <w:p>
      <w:r>
        <w:t>Le registre Kedro a été vérifié avec les pipelines de data engineering, training, pprd et prod. La syntaxe moderne --pipelines a été privilégiée, l’ancienne option --pipeline étant dépréciée.</w:t>
      </w:r>
    </w:p>
    <w:p>
      <w:pPr>
        <w:pStyle w:val="Heading2"/>
      </w:pPr>
      <w:r>
        <w:t>2.2 Catalogue Kedro</w:t>
      </w:r>
    </w:p>
    <w:p>
      <w:r>
        <w:t>Le catalog.yml a été adapté pour distinguer le développement/local de la production. DuckDB est conservé pour le développement, tandis que output_table_prod est destiné à Azure SQL.</w:t>
      </w:r>
    </w:p>
    <w:p>
      <w:pPr>
        <w:pStyle w:val="Heading1"/>
      </w:pPr>
      <w:r>
        <w:t>3. Données et transformations</w:t>
      </w:r>
    </w:p>
    <w:p>
      <w:r>
        <w:t>Les données brutes et intermédiaires sont stockées dans Azure Blob Storage. Les messages peuvent contenir des objets IoTHub imbriqués ; leur normalisation a été vérifiée avec pandas.json_normalize. La présence de colonnes telles que intensity a également été contrôlée avant le calcul des variables dérivées.</w:t>
      </w:r>
    </w:p>
    <w:p>
      <w:r>
        <w:t>Les étapes de préparation ont notamment consisté à vérifier les colonnes, sélectionner les features et séparer les variables explicatives de la cible.</w:t>
      </w:r>
    </w:p>
    <w:p>
      <w:pPr>
        <w:pStyle w:val="Heading1"/>
      </w:pPr>
      <w:r>
        <w:t>4. Machine learning</w:t>
      </w:r>
    </w:p>
    <w:p>
      <w:r>
        <w:t>La séparation entraînement/test utilise train_test_split. Le code d’entraînement s’appuie sur scikit-learn. Le modèle stocké dans Azure Blob a été testé directement avec Kedro ; l’artefact chargé lors de cette vérification était un modèle LinearRegression. Cette vérification a permis de distinguer l’artefact réellement déployé du code d’entraînement présent localement.</w:t>
      </w:r>
    </w:p>
    <w:p>
      <w:pPr>
        <w:pStyle w:val="Heading1"/>
      </w:pPr>
      <w:r>
        <w:t>5. Azure Blob Storage</w:t>
      </w:r>
    </w:p>
    <w:p>
      <w:r>
        <w:t>L’accès à Azure Blob a été testé directement avec ADLFS puis avec les datasets Kedro. Les principaux fichiers utilisés sont les données brutes, le message du broker, les données nettoyées, le modèle ML et le rapport Power BI.</w:t>
      </w:r>
    </w:p>
    <w:p>
      <w:pPr>
        <w:pStyle w:val="ListBullet"/>
      </w:pPr>
      <w:r>
        <w:t>01_raw/IntroMLops-1.json</w:t>
      </w:r>
    </w:p>
    <w:p>
      <w:pPr>
        <w:pStyle w:val="ListBullet"/>
      </w:pPr>
      <w:r>
        <w:t>01_raw/message_from_message_broker.json</w:t>
      </w:r>
    </w:p>
    <w:p>
      <w:pPr>
        <w:pStyle w:val="ListBullet"/>
      </w:pPr>
      <w:r>
        <w:t>02_intermediate/cleaned_data.pq</w:t>
      </w:r>
    </w:p>
    <w:p>
      <w:pPr>
        <w:pStyle w:val="ListBullet"/>
      </w:pPr>
      <w:r>
        <w:t>06_models/model_temperature.pkl</w:t>
      </w:r>
    </w:p>
    <w:p>
      <w:pPr>
        <w:pStyle w:val="ListBullet"/>
      </w:pPr>
      <w:r>
        <w:t>07_model_output/raspberry_temperature.duckdb</w:t>
      </w:r>
    </w:p>
    <w:p>
      <w:pPr>
        <w:pStyle w:val="ListBullet"/>
      </w:pPr>
      <w:r>
        <w:t>08_reporting/Reporting_temperature.pbix</w:t>
      </w:r>
    </w:p>
    <w:p>
      <w:pPr>
        <w:pStyle w:val="Heading1"/>
      </w:pPr>
      <w:r>
        <w:t>6. Event Hub, Consumer, Service Bus et Celery</w:t>
      </w:r>
    </w:p>
    <w:p>
      <w:r>
        <w:t>Le consumer reçoit les événements Azure Event Hub puis appelle process_message_with_kedro.delay(event_body). La tâche est exécutée par Celery. La chaîne Event Hub → Consumer → Service Bus → Celery a été validée dans Azure.</w:t>
      </w:r>
    </w:p>
    <w:p>
      <w:r>
        <w:t>Une correction a été apportée au transport Event Hub : lorsqu’AMQP sur WebSocket est nécessaire, il faut utiliser l’énumération TransportType.AmqpOverWebsocket et non une simple chaîne de caractères.</w:t>
      </w:r>
    </w:p>
    <w:p>
      <w:pPr>
        <w:pStyle w:val="Heading1"/>
      </w:pPr>
      <w:r>
        <w:t>7. Exécution Kedro depuis Celery</w:t>
      </w:r>
    </w:p>
    <w:p>
      <w:r>
        <w:t>La tâche Celery sauvegarde chaque message dans data/01_raw/message_from_message_broker.json, prépare les credentials Kedro puis lance le pipeline prod avec subprocess.</w:t>
      </w:r>
    </w:p>
    <w:p>
      <w:r>
        <w:t>La capture de stdout et stderr de Kedro a été ajoutée afin de rendre visibles dans les logs Azure les prédictions, le dataset utilisé, la fin du pipeline et le code retour.</w:t>
      </w:r>
    </w:p>
    <w:p>
      <w:pPr>
        <w:pStyle w:val="Heading1"/>
      </w:pPr>
      <w:r>
        <w:t>8. Migration de DuckDB vers Azure SQL</w:t>
      </w:r>
    </w:p>
    <w:p>
      <w:r>
        <w:t>L’objectif était de remplacer uniquement la persistance de production, sans supprimer DuckDB pour le développement.</w:t>
      </w:r>
    </w:p>
    <w:p>
      <w:pPr>
        <w:pStyle w:val="Heading2"/>
      </w:pPr>
      <w:r>
        <w:t>8.1 Base et table</w:t>
      </w:r>
    </w:p>
    <w:p>
      <w:r>
        <w:t>La base raspberry-temperature est hébergée sur raspberry-sql.database.windows.net. La table de production est dbo.training_table_prod, avec notamment y_pred et Time.</w:t>
      </w:r>
    </w:p>
    <w:p>
      <w:pPr>
        <w:pStyle w:val="Heading2"/>
      </w:pPr>
      <w:r>
        <w:t>8.2 Managed Identity</w:t>
      </w:r>
    </w:p>
    <w:p>
      <w:r>
        <w:t>L’authentification utilise Microsoft Entra ID et la Managed Identity du Container App. Aucun mot de passe SQL n’est nécessaire au runtime. L’identité du conteneur a été créée comme utilisateur externe dans Azure SQL et les droits INSERT et SELECT ont été accordés sur dbo.training_table_prod.</w:t>
      </w:r>
    </w:p>
    <w:p>
      <w:pPr>
        <w:pStyle w:val="Heading2"/>
      </w:pPr>
      <w:r>
        <w:t>8.3 SQLAlchemy et ODBC</w:t>
      </w:r>
    </w:p>
    <w:p>
      <w:r>
        <w:t>Le module azure_sql.py utilise DefaultAzureCredential pour obtenir un token SQL, puis SQLAlchemy et pyodbc avec ODBC Driver 18 for SQL Server. La connexion a été validée localement et dans Azure.</w:t>
      </w:r>
    </w:p>
    <w:p>
      <w:pPr>
        <w:pStyle w:val="Heading1"/>
      </w:pPr>
      <w:r>
        <w:t>9. Dataset Kedro AzureSQLTableDataset</w:t>
      </w:r>
    </w:p>
    <w:p>
      <w:r>
        <w:t>Un dataset personnalisé a été créé dans src/raspberry_temperature/datasets/azure_sql_dataset.py. Il permet de charger la table avec SELECT et d’enregistrer les DataFrames avec pandas.to_sql. La production utilise if_exists: append afin d’ajouter les prédictions.</w:t>
      </w:r>
    </w:p>
    <w:p>
      <w:pPr>
        <w:pStyle w:val="Heading1"/>
      </w:pPr>
      <w:r>
        <w:t>10. Docker et problèmes ODBC</w:t>
      </w:r>
    </w:p>
    <w:p>
      <w:r>
        <w:t>L’image Celery a dû être adaptée pour installer unixodbc, unixodbc-dev et msodbcsql18. Une première approche avec apt-key a échoué car apt-key n’était plus disponible ; l’installation a été corrigée avec packages-microsoft-prod.deb.</w:t>
      </w:r>
    </w:p>
    <w:p>
      <w:r>
        <w:t>Un test docker local a confirmé la présence de ODBC Driver 18. Il a également été constaté qu’un conteneur Docker local ne peut pas utiliser la Managed Identity Azure, ce qui est normal : celle-ci est fournie par Azure Container Apps.</w:t>
      </w:r>
    </w:p>
    <w:p>
      <w:pPr>
        <w:pStyle w:val="Heading1"/>
      </w:pPr>
      <w:r>
        <w:t>11. Azure Container Registry et Azure DevOps</w:t>
      </w:r>
    </w:p>
    <w:p>
      <w:r>
        <w:t>Azure DevOps construit les images consumer et Celery, les pousse dans Azure Container Registry puis met à jour les Container Apps. La CI installe Python 3.14, uv et les dépendances, vérifie Kedro, génère temporairement les credentials nécessaires à la validation du catalogue, exécute pytest puis construit et déploie les images.</w:t>
      </w:r>
    </w:p>
    <w:p>
      <w:r>
        <w:t>Une mise à jour manuelle de Container Apps a été bloquée par une politique MFA. Le déploiement via la Service Connection Azure DevOps a donc été privilégié.</w:t>
      </w:r>
    </w:p>
    <w:p>
      <w:pPr>
        <w:pStyle w:val="Heading1"/>
      </w:pPr>
      <w:r>
        <w:t>12. Diagnostic du mauvais dataset en production</w:t>
      </w:r>
    </w:p>
    <w:p>
      <w:r>
        <w:t>Un point critique a été découvert dans les logs : Kedro annonçait Saving data to output_table_prod (SQLTableDataset), alors que la configuration locale avait été modifiée pour AzureSQLTableDataset.</w:t>
      </w:r>
    </w:p>
    <w:p>
      <w:r>
        <w:t>L’inspection du conteneur a montré que son catalog.yml contenait encore l’ancienne définition pandas.SQLTableDataset avec duckdb_credentials. Le problème venait donc de la configuration/image effectivement déployée et non d’Azure SQL.</w:t>
      </w:r>
    </w:p>
    <w:p>
      <w:r>
        <w:t>Le fichier catalog.yml, ainsi que azure_sql.py et azure_sql_dataset.py, ont été identifiés comme fichiers runtime essentiels à versionner et redéployer.</w:t>
      </w:r>
    </w:p>
    <w:p>
      <w:pPr>
        <w:pStyle w:val="Heading1"/>
      </w:pPr>
      <w:r>
        <w:t>13. Incident KeyError: azure_blob</w:t>
      </w:r>
    </w:p>
    <w:p>
      <w:r>
        <w:t>Une exécution directe de kedro catalog describe-datasets dans le conteneur a produit KeyError: 'azure_blob'. Le traceback indiquait que Kedro cherchait azure_blob dans credentials.yml.</w:t>
      </w:r>
    </w:p>
    <w:p>
      <w:r>
        <w:t>L’explication était que credentials.yml est exclu de Git et créé au runtime par create_kedro_credentials(). Une commande Kedro lancée directement avant cette création peut donc échouer. La CI Azure DevOps génère quant à elle un fichier temporaire pour ses validations.</w:t>
      </w:r>
    </w:p>
    <w:p>
      <w:r>
        <w:t>Il a aussi été corrigé qu’une clé Azure ne devait jamais être affichée avec cat conf/base/credentials.yml dans les logs CI.</w:t>
      </w:r>
    </w:p>
    <w:p>
      <w:r>
        <w:t>Malgré cet incident de vérification manuelle, l’exécution normale depuis Azure a été validée avec succès.</w:t>
      </w:r>
    </w:p>
    <w:p>
      <w:pPr>
        <w:pStyle w:val="Heading1"/>
      </w:pPr>
      <w:r>
        <w:t>14. Validation de la production Azure SQL</w:t>
      </w:r>
    </w:p>
    <w:p>
      <w:r>
        <w:t>Après correction et redéploiement, les nouvelles valeurs de prédiction sont bien apparues dans dbo.training_table_prod. La chaîne de production écrit donc effectivement dans Azure SQL.</w:t>
      </w:r>
    </w:p>
    <w:p>
      <w:pPr>
        <w:pStyle w:val="Heading1"/>
      </w:pPr>
      <w:r>
        <w:t>15. Migration de Power BI</w:t>
      </w:r>
    </w:p>
    <w:p>
      <w:r>
        <w:t>Le rapport existant Reporting_temperature.pbix n’a pas été reconstruit. Seule la source de données a été ajustée afin de conserver les transformations, mesures et visualisations.</w:t>
      </w:r>
    </w:p>
    <w:p>
      <w:r>
        <w:t>Dans Power Query, la connexion Azure SQL était déjà présente mais une ancienne navigation vers un schéma main subsistait. Cette étape provenait de l’ancienne structure DuckDB et était incorrecte pour Azure SQL.</w:t>
      </w:r>
    </w:p>
    <w:p>
      <w:r>
        <w:t>La requête a été simplifiée pour naviguer directement vers dbo.training_table_prod. Les étapes de transformation (année, mois, jours du mois, heure, types de Time et y_pred, date) ont été conservées.</w:t>
      </w:r>
    </w:p>
    <w:p>
      <w:r>
        <w:t>Après Fermer et appliquer puis actualisation, Power BI fonctionne correctement avec Azure SQL comme source.</w:t>
      </w:r>
    </w:p>
    <w:p>
      <w:pPr>
        <w:pStyle w:val="Heading1"/>
      </w:pPr>
      <w:r>
        <w:t>16. Architecture finale</w:t>
      </w:r>
    </w:p>
    <w:p>
      <w:r>
        <w:t>Raspberry Pi / source de données</w:t>
      </w:r>
    </w:p>
    <w:p>
      <w:r>
        <w:t>↓ Azure Event Hub</w:t>
      </w:r>
    </w:p>
    <w:p>
      <w:r>
        <w:t>↓ Consumer Python</w:t>
      </w:r>
    </w:p>
    <w:p>
      <w:r>
        <w:t>↓ Azure Service Bus</w:t>
      </w:r>
    </w:p>
    <w:p>
      <w:r>
        <w:t>↓ Celery Worker</w:t>
      </w:r>
    </w:p>
    <w:p>
      <w:r>
        <w:t>↓ Kedro — pipeline prod</w:t>
      </w:r>
    </w:p>
    <w:p>
      <w:r>
        <w:t>↓ Modèle ML depuis Azure Blob Storage</w:t>
      </w:r>
    </w:p>
    <w:p>
      <w:r>
        <w:t>↓ AzureSQLTableDataset</w:t>
      </w:r>
    </w:p>
    <w:p>
      <w:r>
        <w:t>↓ Azure SQL — dbo.training_table_prod</w:t>
      </w:r>
    </w:p>
    <w:p>
      <w:r>
        <w:t>↓ Power BI</w:t>
      </w:r>
    </w:p>
    <w:p>
      <w:pPr>
        <w:pStyle w:val="Heading1"/>
      </w:pPr>
      <w:r>
        <w:t>17. État final des composants</w:t>
      </w:r>
    </w:p>
    <w:tbl>
      <w:tblPr>
        <w:tblStyle w:val="TableGrid"/>
        <w:tblW w:type="auto" w:w="0"/>
        <w:tblLook w:firstColumn="1" w:firstRow="1" w:lastColumn="0" w:lastRow="0" w:noHBand="0" w:noVBand="1" w:val="04A0"/>
      </w:tblPr>
      <w:tblGrid>
        <w:gridCol w:w="3312"/>
        <w:gridCol w:w="3312"/>
        <w:gridCol w:w="3312"/>
      </w:tblGrid>
      <w:tr>
        <w:tc>
          <w:tcPr>
            <w:tcW w:type="dxa" w:w="3312"/>
          </w:tcPr>
          <w:p>
            <w:r>
              <w:t>Composant</w:t>
            </w:r>
          </w:p>
        </w:tc>
        <w:tc>
          <w:tcPr>
            <w:tcW w:type="dxa" w:w="3312"/>
          </w:tcPr>
          <w:p>
            <w:r>
              <w:t>État</w:t>
            </w:r>
          </w:p>
        </w:tc>
        <w:tc>
          <w:tcPr>
            <w:tcW w:type="dxa" w:w="3312"/>
          </w:tcPr>
          <w:p>
            <w:r>
              <w:t>Fonction</w:t>
            </w:r>
          </w:p>
        </w:tc>
      </w:tr>
      <w:tr>
        <w:tc>
          <w:tcPr>
            <w:tcW w:type="dxa" w:w="3312"/>
          </w:tcPr>
          <w:p>
            <w:r>
              <w:t>Azure Event Hub</w:t>
            </w:r>
          </w:p>
        </w:tc>
        <w:tc>
          <w:tcPr>
            <w:tcW w:type="dxa" w:w="3312"/>
          </w:tcPr>
          <w:p>
            <w:r>
              <w:t>Opérationnel</w:t>
            </w:r>
          </w:p>
        </w:tc>
        <w:tc>
          <w:tcPr>
            <w:tcW w:type="dxa" w:w="3312"/>
          </w:tcPr>
          <w:p>
            <w:r>
              <w:t>Ingestion</w:t>
            </w:r>
          </w:p>
        </w:tc>
      </w:tr>
      <w:tr>
        <w:tc>
          <w:tcPr>
            <w:tcW w:type="dxa" w:w="3312"/>
          </w:tcPr>
          <w:p>
            <w:r>
              <w:t>Consumer</w:t>
            </w:r>
          </w:p>
        </w:tc>
        <w:tc>
          <w:tcPr>
            <w:tcW w:type="dxa" w:w="3312"/>
          </w:tcPr>
          <w:p>
            <w:r>
              <w:t>Opérationnel</w:t>
            </w:r>
          </w:p>
        </w:tc>
        <w:tc>
          <w:tcPr>
            <w:tcW w:type="dxa" w:w="3312"/>
          </w:tcPr>
          <w:p>
            <w:r>
              <w:t>Réception/transmission</w:t>
            </w:r>
          </w:p>
        </w:tc>
      </w:tr>
      <w:tr>
        <w:tc>
          <w:tcPr>
            <w:tcW w:type="dxa" w:w="3312"/>
          </w:tcPr>
          <w:p>
            <w:r>
              <w:t>Service Bus</w:t>
            </w:r>
          </w:p>
        </w:tc>
        <w:tc>
          <w:tcPr>
            <w:tcW w:type="dxa" w:w="3312"/>
          </w:tcPr>
          <w:p>
            <w:r>
              <w:t>Opérationnel</w:t>
            </w:r>
          </w:p>
        </w:tc>
        <w:tc>
          <w:tcPr>
            <w:tcW w:type="dxa" w:w="3312"/>
          </w:tcPr>
          <w:p>
            <w:r>
              <w:t>File de messages</w:t>
            </w:r>
          </w:p>
        </w:tc>
      </w:tr>
      <w:tr>
        <w:tc>
          <w:tcPr>
            <w:tcW w:type="dxa" w:w="3312"/>
          </w:tcPr>
          <w:p>
            <w:r>
              <w:t>Celery</w:t>
            </w:r>
          </w:p>
        </w:tc>
        <w:tc>
          <w:tcPr>
            <w:tcW w:type="dxa" w:w="3312"/>
          </w:tcPr>
          <w:p>
            <w:r>
              <w:t>Opérationnel</w:t>
            </w:r>
          </w:p>
        </w:tc>
        <w:tc>
          <w:tcPr>
            <w:tcW w:type="dxa" w:w="3312"/>
          </w:tcPr>
          <w:p>
            <w:r>
              <w:t>Traitement asynchrone</w:t>
            </w:r>
          </w:p>
        </w:tc>
      </w:tr>
      <w:tr>
        <w:tc>
          <w:tcPr>
            <w:tcW w:type="dxa" w:w="3312"/>
          </w:tcPr>
          <w:p>
            <w:r>
              <w:t>Kedro</w:t>
            </w:r>
          </w:p>
        </w:tc>
        <w:tc>
          <w:tcPr>
            <w:tcW w:type="dxa" w:w="3312"/>
          </w:tcPr>
          <w:p>
            <w:r>
              <w:t>Opérationnel</w:t>
            </w:r>
          </w:p>
        </w:tc>
        <w:tc>
          <w:tcPr>
            <w:tcW w:type="dxa" w:w="3312"/>
          </w:tcPr>
          <w:p>
            <w:r>
              <w:t>Pipeline et prédiction</w:t>
            </w:r>
          </w:p>
        </w:tc>
      </w:tr>
      <w:tr>
        <w:tc>
          <w:tcPr>
            <w:tcW w:type="dxa" w:w="3312"/>
          </w:tcPr>
          <w:p>
            <w:r>
              <w:t>Azure Blob Storage</w:t>
            </w:r>
          </w:p>
        </w:tc>
        <w:tc>
          <w:tcPr>
            <w:tcW w:type="dxa" w:w="3312"/>
          </w:tcPr>
          <w:p>
            <w:r>
              <w:t>Opérationnel</w:t>
            </w:r>
          </w:p>
        </w:tc>
        <w:tc>
          <w:tcPr>
            <w:tcW w:type="dxa" w:w="3312"/>
          </w:tcPr>
          <w:p>
            <w:r>
              <w:t>Données et modèle</w:t>
            </w:r>
          </w:p>
        </w:tc>
      </w:tr>
      <w:tr>
        <w:tc>
          <w:tcPr>
            <w:tcW w:type="dxa" w:w="3312"/>
          </w:tcPr>
          <w:p>
            <w:r>
              <w:t>Azure SQL</w:t>
            </w:r>
          </w:p>
        </w:tc>
        <w:tc>
          <w:tcPr>
            <w:tcW w:type="dxa" w:w="3312"/>
          </w:tcPr>
          <w:p>
            <w:r>
              <w:t>Opérationnel</w:t>
            </w:r>
          </w:p>
        </w:tc>
        <w:tc>
          <w:tcPr>
            <w:tcW w:type="dxa" w:w="3312"/>
          </w:tcPr>
          <w:p>
            <w:r>
              <w:t>Stockage production</w:t>
            </w:r>
          </w:p>
        </w:tc>
      </w:tr>
      <w:tr>
        <w:tc>
          <w:tcPr>
            <w:tcW w:type="dxa" w:w="3312"/>
          </w:tcPr>
          <w:p>
            <w:r>
              <w:t>Managed Identity</w:t>
            </w:r>
          </w:p>
        </w:tc>
        <w:tc>
          <w:tcPr>
            <w:tcW w:type="dxa" w:w="3312"/>
          </w:tcPr>
          <w:p>
            <w:r>
              <w:t>Opérationnel</w:t>
            </w:r>
          </w:p>
        </w:tc>
        <w:tc>
          <w:tcPr>
            <w:tcW w:type="dxa" w:w="3312"/>
          </w:tcPr>
          <w:p>
            <w:r>
              <w:t>Authentification</w:t>
            </w:r>
          </w:p>
        </w:tc>
      </w:tr>
      <w:tr>
        <w:tc>
          <w:tcPr>
            <w:tcW w:type="dxa" w:w="3312"/>
          </w:tcPr>
          <w:p>
            <w:r>
              <w:t>Azure DevOps / ACR</w:t>
            </w:r>
          </w:p>
        </w:tc>
        <w:tc>
          <w:tcPr>
            <w:tcW w:type="dxa" w:w="3312"/>
          </w:tcPr>
          <w:p>
            <w:r>
              <w:t>Opérationnel</w:t>
            </w:r>
          </w:p>
        </w:tc>
        <w:tc>
          <w:tcPr>
            <w:tcW w:type="dxa" w:w="3312"/>
          </w:tcPr>
          <w:p>
            <w:r>
              <w:t>CI/CD</w:t>
            </w:r>
          </w:p>
        </w:tc>
      </w:tr>
      <w:tr>
        <w:tc>
          <w:tcPr>
            <w:tcW w:type="dxa" w:w="3312"/>
          </w:tcPr>
          <w:p>
            <w:r>
              <w:t>Power BI</w:t>
            </w:r>
          </w:p>
        </w:tc>
        <w:tc>
          <w:tcPr>
            <w:tcW w:type="dxa" w:w="3312"/>
          </w:tcPr>
          <w:p>
            <w:r>
              <w:t>Opérationnel</w:t>
            </w:r>
          </w:p>
        </w:tc>
        <w:tc>
          <w:tcPr>
            <w:tcW w:type="dxa" w:w="3312"/>
          </w:tcPr>
          <w:p>
            <w:r>
              <w:t>Reporting</w:t>
            </w:r>
          </w:p>
        </w:tc>
      </w:tr>
      <w:tr>
        <w:tc>
          <w:tcPr>
            <w:tcW w:type="dxa" w:w="3312"/>
          </w:tcPr>
          <w:p>
            <w:r>
              <w:t>DuckDB</w:t>
            </w:r>
          </w:p>
        </w:tc>
        <w:tc>
          <w:tcPr>
            <w:tcW w:type="dxa" w:w="3312"/>
          </w:tcPr>
          <w:p>
            <w:r>
              <w:t>Conservé</w:t>
            </w:r>
          </w:p>
        </w:tc>
        <w:tc>
          <w:tcPr>
            <w:tcW w:type="dxa" w:w="3312"/>
          </w:tcPr>
          <w:p>
            <w:r>
              <w:t>Développement/local</w:t>
            </w:r>
          </w:p>
        </w:tc>
      </w:tr>
    </w:tbl>
    <w:p>
      <w:pPr>
        <w:pStyle w:val="Heading1"/>
      </w:pPr>
      <w:r>
        <w:t>18. Bonnes pratiques retenues</w:t>
      </w:r>
    </w:p>
    <w:p>
      <w:pPr>
        <w:pStyle w:val="ListBullet"/>
      </w:pPr>
      <w:r>
        <w:t>Comparer la configuration locale avec celle réellement présente dans l’image déployée.</w:t>
      </w:r>
    </w:p>
    <w:p>
      <w:pPr>
        <w:pStyle w:val="ListBullet"/>
      </w:pPr>
      <w:r>
        <w:t>Vérifier le type exact du dataset dans les logs Kedro.</w:t>
      </w:r>
    </w:p>
    <w:p>
      <w:pPr>
        <w:pStyle w:val="ListBullet"/>
      </w:pPr>
      <w:r>
        <w:t>Ne jamais versionner ni afficher les secrets Azure.</w:t>
      </w:r>
    </w:p>
    <w:p>
      <w:pPr>
        <w:pStyle w:val="ListBullet"/>
      </w:pPr>
      <w:r>
        <w:t>Utiliser Managed Identity plutôt qu’un mot de passe SQL en production.</w:t>
      </w:r>
    </w:p>
    <w:p>
      <w:pPr>
        <w:pStyle w:val="ListBullet"/>
      </w:pPr>
      <w:r>
        <w:t>Installer explicitement les dépendances système ODBC dans les images Linux.</w:t>
      </w:r>
    </w:p>
    <w:p>
      <w:pPr>
        <w:pStyle w:val="ListBullet"/>
      </w:pPr>
      <w:r>
        <w:t>Conserver DuckDB pour le développement tant que la production Azure est stabilisée.</w:t>
      </w:r>
    </w:p>
    <w:p>
      <w:pPr>
        <w:pStyle w:val="ListBullet"/>
      </w:pPr>
      <w:r>
        <w:t>Lors d’une migration Power BI, remplacer la source sans reconstruire inutilement les transformations et visualisations.</w:t>
      </w:r>
    </w:p>
    <w:p>
      <w:pPr>
        <w:pStyle w:val="Heading1"/>
      </w:pPr>
      <w:r>
        <w:t>19. Conclusion</w:t>
      </w:r>
    </w:p>
    <w:p>
      <w:r>
        <w:t>Le projet est désormais opérationnel de bout en bout. Les événements sont reçus dans Azure, traités par Celery et Kedro, les prédictions sont enregistrées dans Azure SQL et Power BI consomme directement la table de production. La migration DuckDB → Azure SQL a été réalisée sans casser le rapport Power BI et DuckDB reste disponible pour le développement local.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Projet Raspberry Temperature — Documentation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