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36ED" w14:textId="5AE14373" w:rsidR="00A8009B" w:rsidRDefault="00A8009B">
      <w:pPr>
        <w:rPr>
          <w:b/>
          <w:bCs/>
        </w:rPr>
      </w:pPr>
      <w:r>
        <w:rPr>
          <w:b/>
          <w:bCs/>
        </w:rPr>
        <w:t xml:space="preserve">Project Goal: </w:t>
      </w:r>
      <w:r w:rsidRPr="00A8009B">
        <w:t xml:space="preserve">To identify and prioritize functionally relevant T-cell gene targets by integrating </w:t>
      </w:r>
      <w:proofErr w:type="spellStart"/>
      <w:r w:rsidRPr="00A8009B">
        <w:t>chemoproteomics</w:t>
      </w:r>
      <w:proofErr w:type="spellEnd"/>
      <w:r w:rsidRPr="00A8009B">
        <w:t xml:space="preserve"> fragment binding data with CRISPR screening results</w:t>
      </w:r>
      <w:r w:rsidRPr="00A8009B">
        <w:rPr>
          <w:b/>
          <w:bCs/>
        </w:rPr>
        <w:t>.</w:t>
      </w:r>
    </w:p>
    <w:p w14:paraId="7A88B5B2" w14:textId="77777777" w:rsidR="00A8009B" w:rsidRDefault="00A8009B">
      <w:pPr>
        <w:rPr>
          <w:b/>
          <w:bCs/>
        </w:rPr>
      </w:pPr>
    </w:p>
    <w:p w14:paraId="179E003C" w14:textId="5143A39B" w:rsidR="00A8009B" w:rsidRDefault="00A8009B">
      <w:pPr>
        <w:rPr>
          <w:b/>
          <w:bCs/>
        </w:rPr>
      </w:pPr>
      <w:r>
        <w:rPr>
          <w:b/>
          <w:bCs/>
        </w:rPr>
        <w:t>CRISPR Screens Used:</w:t>
      </w:r>
    </w:p>
    <w:p w14:paraId="2E1BD105" w14:textId="71634BBF" w:rsidR="00A8009B" w:rsidRDefault="00A8009B">
      <w:pPr>
        <w:rPr>
          <w:b/>
          <w:bCs/>
        </w:rPr>
      </w:pPr>
      <w:hyperlink r:id="rId7" w:history="1">
        <w:r w:rsidRPr="00A8009B">
          <w:rPr>
            <w:rStyle w:val="Hyperlink"/>
            <w:b/>
            <w:bCs/>
          </w:rPr>
          <w:t>CRISPR screen of human T-cell activation regulators</w:t>
        </w:r>
      </w:hyperlink>
      <w:r w:rsidR="00FE531E">
        <w:t xml:space="preserve"> (1)</w:t>
      </w:r>
    </w:p>
    <w:p w14:paraId="53E672ED" w14:textId="01BB6952" w:rsidR="00A8009B" w:rsidRDefault="00A8009B">
      <w:pPr>
        <w:rPr>
          <w:b/>
          <w:bCs/>
        </w:rPr>
      </w:pPr>
      <w:r w:rsidRPr="00A8009B">
        <w:rPr>
          <w:b/>
          <w:bCs/>
        </w:rPr>
        <w:t xml:space="preserve">The goal of this CRISPR screen was to systematically identify genes that regulate human T-cell activation and function by using genome-wide CRISPR perturbations combined with functional readouts, </w:t>
      </w:r>
      <w:proofErr w:type="gramStart"/>
      <w:r w:rsidRPr="00A8009B">
        <w:rPr>
          <w:b/>
          <w:bCs/>
        </w:rPr>
        <w:t>in order to</w:t>
      </w:r>
      <w:proofErr w:type="gramEnd"/>
      <w:r w:rsidRPr="00A8009B">
        <w:rPr>
          <w:b/>
          <w:bCs/>
        </w:rPr>
        <w:t xml:space="preserve"> uncover both known and previously unrecognized genetic regulators that control T-cell signaling, activation states, and immune responses.</w:t>
      </w:r>
    </w:p>
    <w:p w14:paraId="1CFCAEB8" w14:textId="77777777" w:rsidR="00A8009B" w:rsidRDefault="00A8009B">
      <w:pPr>
        <w:rPr>
          <w:b/>
          <w:bCs/>
        </w:rPr>
      </w:pPr>
    </w:p>
    <w:p w14:paraId="3D371EEB" w14:textId="4170F684" w:rsidR="00A8009B" w:rsidRDefault="00A8009B">
      <w:pPr>
        <w:rPr>
          <w:b/>
          <w:bCs/>
        </w:rPr>
      </w:pPr>
      <w:hyperlink r:id="rId8" w:history="1">
        <w:r w:rsidRPr="00A8009B">
          <w:rPr>
            <w:rStyle w:val="Hyperlink"/>
            <w:b/>
            <w:bCs/>
          </w:rPr>
          <w:t xml:space="preserve">Fragment-based </w:t>
        </w:r>
        <w:proofErr w:type="spellStart"/>
        <w:r w:rsidRPr="00A8009B">
          <w:rPr>
            <w:rStyle w:val="Hyperlink"/>
            <w:b/>
            <w:bCs/>
          </w:rPr>
          <w:t>chemoproteomics</w:t>
        </w:r>
        <w:proofErr w:type="spellEnd"/>
        <w:r w:rsidRPr="00A8009B">
          <w:rPr>
            <w:rStyle w:val="Hyperlink"/>
            <w:b/>
            <w:bCs/>
          </w:rPr>
          <w:t xml:space="preserve"> of the human </w:t>
        </w:r>
        <w:proofErr w:type="spellStart"/>
        <w:r w:rsidRPr="00A8009B">
          <w:rPr>
            <w:rStyle w:val="Hyperlink"/>
            <w:b/>
            <w:bCs/>
          </w:rPr>
          <w:t>ligandable</w:t>
        </w:r>
        <w:proofErr w:type="spellEnd"/>
        <w:r w:rsidRPr="00A8009B">
          <w:rPr>
            <w:rStyle w:val="Hyperlink"/>
            <w:b/>
            <w:bCs/>
          </w:rPr>
          <w:t xml:space="preserve"> proteome</w:t>
        </w:r>
      </w:hyperlink>
      <w:r w:rsidR="00FE531E">
        <w:t xml:space="preserve"> (2)</w:t>
      </w:r>
    </w:p>
    <w:p w14:paraId="4F93B839" w14:textId="4927963C" w:rsidR="00A8009B" w:rsidRDefault="00A8009B">
      <w:pPr>
        <w:rPr>
          <w:b/>
          <w:bCs/>
        </w:rPr>
      </w:pPr>
      <w:r w:rsidRPr="00A8009B">
        <w:rPr>
          <w:b/>
          <w:bCs/>
        </w:rPr>
        <w:t xml:space="preserve">The goal of this study was to systematically map and characterize </w:t>
      </w:r>
      <w:proofErr w:type="spellStart"/>
      <w:r w:rsidRPr="00A8009B">
        <w:rPr>
          <w:b/>
          <w:bCs/>
        </w:rPr>
        <w:t>ligandable</w:t>
      </w:r>
      <w:proofErr w:type="spellEnd"/>
      <w:r w:rsidRPr="00A8009B">
        <w:rPr>
          <w:b/>
          <w:bCs/>
        </w:rPr>
        <w:t xml:space="preserve"> proteins across the proteome using fragment-based </w:t>
      </w:r>
      <w:proofErr w:type="spellStart"/>
      <w:r w:rsidRPr="00A8009B">
        <w:rPr>
          <w:b/>
          <w:bCs/>
        </w:rPr>
        <w:t>chemoproteomics</w:t>
      </w:r>
      <w:proofErr w:type="spellEnd"/>
      <w:r w:rsidRPr="00A8009B">
        <w:rPr>
          <w:b/>
          <w:bCs/>
        </w:rPr>
        <w:t>, enabling the identification of protein targets and binding hotspots that could be leveraged for drug discovery, including proteins not previously considered druggable.</w:t>
      </w:r>
    </w:p>
    <w:p w14:paraId="16F17E40" w14:textId="77777777" w:rsidR="00A8009B" w:rsidRDefault="00A8009B">
      <w:pPr>
        <w:rPr>
          <w:b/>
          <w:bCs/>
        </w:rPr>
      </w:pPr>
    </w:p>
    <w:p w14:paraId="154EEE29" w14:textId="75A33C2B" w:rsidR="00A8009B" w:rsidRDefault="00A8009B">
      <w:pPr>
        <w:rPr>
          <w:b/>
          <w:bCs/>
        </w:rPr>
      </w:pPr>
      <w:hyperlink r:id="rId9" w:history="1">
        <w:r w:rsidRPr="00A8009B">
          <w:rPr>
            <w:rStyle w:val="Hyperlink"/>
            <w:b/>
            <w:bCs/>
          </w:rPr>
          <w:t>CRISPR-based functional genomics analysis of T-cell regulation</w:t>
        </w:r>
      </w:hyperlink>
      <w:r w:rsidR="00FE531E">
        <w:t xml:space="preserve"> (3)</w:t>
      </w:r>
    </w:p>
    <w:p w14:paraId="33C20A8D" w14:textId="5577585D" w:rsidR="00A8009B" w:rsidRDefault="00A8009B">
      <w:pPr>
        <w:rPr>
          <w:b/>
          <w:bCs/>
        </w:rPr>
      </w:pPr>
      <w:r w:rsidRPr="00A8009B">
        <w:rPr>
          <w:b/>
          <w:bCs/>
        </w:rPr>
        <w:t>The goal of this study was to use CRISPR-based functional genomics approaches to systematically identify genes and pathways that regulate T-cell activation, differentiation, and effector function, thereby improving understanding of the genetic programs that control immune responses.</w:t>
      </w:r>
    </w:p>
    <w:p w14:paraId="19842001" w14:textId="77777777" w:rsidR="00A8009B" w:rsidRDefault="00A8009B">
      <w:pPr>
        <w:rPr>
          <w:b/>
          <w:bCs/>
        </w:rPr>
      </w:pPr>
    </w:p>
    <w:p w14:paraId="4DE64232" w14:textId="6FAB5304" w:rsidR="00A8009B" w:rsidRDefault="00A8009B">
      <w:pPr>
        <w:rPr>
          <w:b/>
          <w:bCs/>
        </w:rPr>
      </w:pPr>
      <w:hyperlink r:id="rId10" w:history="1">
        <w:r w:rsidRPr="00A8009B">
          <w:rPr>
            <w:rStyle w:val="Hyperlink"/>
            <w:b/>
            <w:bCs/>
          </w:rPr>
          <w:t>Genome-wide CRISPR screen identifying regulators of FOXP3 in human T cells</w:t>
        </w:r>
      </w:hyperlink>
      <w:r w:rsidR="00FE531E">
        <w:t xml:space="preserve"> (4)</w:t>
      </w:r>
    </w:p>
    <w:p w14:paraId="70FFD39D" w14:textId="2F217E88" w:rsidR="00A8009B" w:rsidRDefault="0069318B">
      <w:pPr>
        <w:rPr>
          <w:b/>
          <w:bCs/>
        </w:rPr>
      </w:pPr>
      <w:r w:rsidRPr="0069318B">
        <w:rPr>
          <w:b/>
          <w:bCs/>
        </w:rPr>
        <w:t>The goal of this study was to perform a genome-wide CRISPR loss-of-function screen in primary human T cells to identify and characterize genes that regulate the induction and stability of the transcription factor FOXP3, which is central to regulatory T-cell (</w:t>
      </w:r>
      <w:proofErr w:type="spellStart"/>
      <w:r w:rsidRPr="0069318B">
        <w:rPr>
          <w:b/>
          <w:bCs/>
        </w:rPr>
        <w:t>T</w:t>
      </w:r>
      <w:r w:rsidRPr="0069318B">
        <w:rPr>
          <w:rFonts w:ascii="Cambria Math" w:hAnsi="Cambria Math" w:cs="Cambria Math"/>
          <w:b/>
          <w:bCs/>
        </w:rPr>
        <w:t>ₑ</w:t>
      </w:r>
      <w:r w:rsidRPr="0069318B">
        <w:rPr>
          <w:b/>
          <w:bCs/>
        </w:rPr>
        <w:t>g</w:t>
      </w:r>
      <w:proofErr w:type="spellEnd"/>
      <w:r w:rsidRPr="0069318B">
        <w:rPr>
          <w:b/>
          <w:bCs/>
        </w:rPr>
        <w:t>) function and tolerance, with implications for improving adoptive T-cell therapies and understanding immune regulation.</w:t>
      </w:r>
    </w:p>
    <w:p w14:paraId="688B081B" w14:textId="77777777" w:rsidR="0069318B" w:rsidRDefault="0069318B">
      <w:pPr>
        <w:rPr>
          <w:b/>
          <w:bCs/>
        </w:rPr>
      </w:pPr>
    </w:p>
    <w:p w14:paraId="261896CE" w14:textId="47324A7F" w:rsidR="0069318B" w:rsidRDefault="0069318B">
      <w:pPr>
        <w:rPr>
          <w:b/>
          <w:bCs/>
        </w:rPr>
      </w:pPr>
      <w:hyperlink r:id="rId11" w:history="1">
        <w:r w:rsidRPr="0069318B">
          <w:rPr>
            <w:rStyle w:val="Hyperlink"/>
            <w:b/>
            <w:bCs/>
          </w:rPr>
          <w:t xml:space="preserve">Genome-wide </w:t>
        </w:r>
        <w:proofErr w:type="spellStart"/>
        <w:r w:rsidRPr="0069318B">
          <w:rPr>
            <w:rStyle w:val="Hyperlink"/>
            <w:b/>
            <w:bCs/>
          </w:rPr>
          <w:t>CRISPRa</w:t>
        </w:r>
        <w:proofErr w:type="spellEnd"/>
        <w:r w:rsidRPr="0069318B">
          <w:rPr>
            <w:rStyle w:val="Hyperlink"/>
            <w:b/>
            <w:bCs/>
          </w:rPr>
          <w:t>/</w:t>
        </w:r>
        <w:proofErr w:type="spellStart"/>
        <w:r w:rsidRPr="0069318B">
          <w:rPr>
            <w:rStyle w:val="Hyperlink"/>
            <w:b/>
            <w:bCs/>
          </w:rPr>
          <w:t>i</w:t>
        </w:r>
        <w:proofErr w:type="spellEnd"/>
        <w:r w:rsidRPr="0069318B">
          <w:rPr>
            <w:rStyle w:val="Hyperlink"/>
            <w:b/>
            <w:bCs/>
          </w:rPr>
          <w:t xml:space="preserve"> screens identifying regulators of human T-cell activation</w:t>
        </w:r>
      </w:hyperlink>
      <w:r w:rsidR="00FE531E">
        <w:t xml:space="preserve"> (5)</w:t>
      </w:r>
    </w:p>
    <w:p w14:paraId="049F8D29" w14:textId="36322B32" w:rsidR="0069318B" w:rsidRDefault="0069318B">
      <w:pPr>
        <w:rPr>
          <w:b/>
          <w:bCs/>
        </w:rPr>
      </w:pPr>
      <w:r w:rsidRPr="0069318B">
        <w:rPr>
          <w:b/>
          <w:bCs/>
        </w:rPr>
        <w:lastRenderedPageBreak/>
        <w:t xml:space="preserve">The goal of this study was to use genome-wide </w:t>
      </w:r>
      <w:proofErr w:type="spellStart"/>
      <w:r w:rsidRPr="0069318B">
        <w:rPr>
          <w:b/>
          <w:bCs/>
        </w:rPr>
        <w:t>CRISPRa</w:t>
      </w:r>
      <w:proofErr w:type="spellEnd"/>
      <w:r w:rsidRPr="0069318B">
        <w:rPr>
          <w:b/>
          <w:bCs/>
        </w:rPr>
        <w:t xml:space="preserve"> and </w:t>
      </w:r>
      <w:proofErr w:type="spellStart"/>
      <w:r w:rsidRPr="0069318B">
        <w:rPr>
          <w:b/>
          <w:bCs/>
        </w:rPr>
        <w:t>CRISPRi</w:t>
      </w:r>
      <w:proofErr w:type="spellEnd"/>
      <w:r w:rsidRPr="0069318B">
        <w:rPr>
          <w:b/>
          <w:bCs/>
        </w:rPr>
        <w:t xml:space="preserve"> screens in primary human T cells to systematically identify positive and negative genetic regulators of T-cell activation, cytokine production, and immune effector functions.</w:t>
      </w:r>
    </w:p>
    <w:p w14:paraId="0C8BAEAD" w14:textId="77777777" w:rsidR="0069318B" w:rsidRDefault="0069318B">
      <w:pPr>
        <w:rPr>
          <w:b/>
          <w:bCs/>
        </w:rPr>
      </w:pPr>
    </w:p>
    <w:p w14:paraId="021C5C22" w14:textId="627617BD" w:rsidR="0069318B" w:rsidRDefault="0069318B">
      <w:pPr>
        <w:rPr>
          <w:b/>
          <w:bCs/>
        </w:rPr>
      </w:pPr>
      <w:hyperlink r:id="rId12" w:history="1">
        <w:r w:rsidRPr="0069318B">
          <w:rPr>
            <w:rStyle w:val="Hyperlink"/>
            <w:b/>
            <w:bCs/>
          </w:rPr>
          <w:t>In vivo CRISPR screens identify modifiers of CAR T cell function and persistence</w:t>
        </w:r>
      </w:hyperlink>
      <w:r w:rsidR="00FE531E">
        <w:t xml:space="preserve"> (6)</w:t>
      </w:r>
    </w:p>
    <w:p w14:paraId="030B385E" w14:textId="056C4027" w:rsidR="0069318B" w:rsidRDefault="0069318B">
      <w:pPr>
        <w:rPr>
          <w:b/>
          <w:bCs/>
        </w:rPr>
      </w:pPr>
      <w:r w:rsidRPr="0069318B">
        <w:rPr>
          <w:b/>
          <w:bCs/>
        </w:rPr>
        <w:t>To identify gene perturbations that enhance the persistence, expansion, and anti-tumor function of BCMA-targeting CAR T cells by performing in vivo CRISPR loss-of-function screens, revealing context-specific regulators of CAR T cell fitness and efficacy in a multiple myeloma model</w:t>
      </w:r>
      <w:r>
        <w:rPr>
          <w:b/>
          <w:bCs/>
        </w:rPr>
        <w:t>.</w:t>
      </w:r>
    </w:p>
    <w:p w14:paraId="6E67C481" w14:textId="77777777" w:rsidR="00005E1E" w:rsidRDefault="00005E1E">
      <w:pPr>
        <w:rPr>
          <w:b/>
          <w:bCs/>
        </w:rPr>
      </w:pPr>
    </w:p>
    <w:p w14:paraId="482373BC" w14:textId="77777777" w:rsidR="00005E1E" w:rsidRDefault="00005E1E">
      <w:pPr>
        <w:rPr>
          <w:b/>
          <w:bCs/>
        </w:rPr>
      </w:pPr>
    </w:p>
    <w:p w14:paraId="2D5FE077" w14:textId="77777777" w:rsidR="00005E1E" w:rsidRDefault="00005E1E">
      <w:pPr>
        <w:rPr>
          <w:b/>
          <w:bCs/>
        </w:rPr>
      </w:pPr>
    </w:p>
    <w:p w14:paraId="3CB85C47" w14:textId="77777777" w:rsidR="00005E1E" w:rsidRPr="00005E1E" w:rsidRDefault="00005E1E" w:rsidP="00005E1E">
      <w:pPr>
        <w:rPr>
          <w:b/>
          <w:bCs/>
        </w:rPr>
      </w:pPr>
      <w:r w:rsidRPr="00005E1E">
        <w:rPr>
          <w:b/>
          <w:bCs/>
        </w:rPr>
        <w:t>CRISPR Screen Terminology</w:t>
      </w:r>
    </w:p>
    <w:p w14:paraId="07B8EA03" w14:textId="77777777" w:rsidR="00005E1E" w:rsidRPr="00005E1E" w:rsidRDefault="00005E1E" w:rsidP="00005E1E">
      <w:pPr>
        <w:rPr>
          <w:b/>
          <w:bCs/>
        </w:rPr>
      </w:pPr>
      <w:r w:rsidRPr="00005E1E">
        <w:rPr>
          <w:b/>
          <w:bCs/>
        </w:rPr>
        <w:t>Positive Rank</w:t>
      </w:r>
    </w:p>
    <w:p w14:paraId="5BF61CE0" w14:textId="77777777" w:rsidR="00005E1E" w:rsidRPr="00005E1E" w:rsidRDefault="00005E1E" w:rsidP="00005E1E">
      <w:r w:rsidRPr="00005E1E">
        <w:t>Genes whose perturbation results in enrichment of sgRNAs following selection.</w:t>
      </w:r>
      <w:r w:rsidRPr="00005E1E">
        <w:br/>
        <w:t>This suggests that loss or activation of the gene confers a functional advantage under the screening condition (e.g., increased survival, enhanced signaling, or resistance).</w:t>
      </w:r>
    </w:p>
    <w:p w14:paraId="0BBEA887" w14:textId="77777777" w:rsidR="00005E1E" w:rsidRPr="00005E1E" w:rsidRDefault="00005E1E" w:rsidP="00005E1E">
      <w:pPr>
        <w:rPr>
          <w:b/>
          <w:bCs/>
        </w:rPr>
      </w:pPr>
      <w:r w:rsidRPr="00005E1E">
        <w:rPr>
          <w:b/>
          <w:bCs/>
        </w:rPr>
        <w:t>Negative Rank</w:t>
      </w:r>
    </w:p>
    <w:p w14:paraId="2C53ECC8" w14:textId="77777777" w:rsidR="00005E1E" w:rsidRPr="00005E1E" w:rsidRDefault="00005E1E" w:rsidP="00005E1E">
      <w:r w:rsidRPr="00005E1E">
        <w:t>Genes whose perturbation results in depletion of sgRNAs following selection.</w:t>
      </w:r>
      <w:r w:rsidRPr="00005E1E">
        <w:br/>
        <w:t>This suggests that the gene is functionally required under the screening condition (e.g., essential for cell fitness, signaling, or effector function).</w:t>
      </w:r>
    </w:p>
    <w:p w14:paraId="2AAF6ECD" w14:textId="77777777" w:rsidR="00005E1E" w:rsidRPr="00005E1E" w:rsidRDefault="00005E1E" w:rsidP="00005E1E">
      <w:r w:rsidRPr="00005E1E">
        <w:t>Positive and negative ranks represent opposing biological effects and are analyzed separately.</w:t>
      </w:r>
    </w:p>
    <w:p w14:paraId="273A8684" w14:textId="77777777" w:rsidR="00005E1E" w:rsidRPr="00005E1E" w:rsidRDefault="00005E1E" w:rsidP="00005E1E">
      <w:pPr>
        <w:rPr>
          <w:b/>
          <w:bCs/>
        </w:rPr>
      </w:pPr>
      <w:r w:rsidRPr="00005E1E">
        <w:rPr>
          <w:b/>
          <w:bCs/>
        </w:rPr>
        <w:pict w14:anchorId="5B8EA875">
          <v:rect id="_x0000_i1049" style="width:0;height:1.5pt" o:hralign="center" o:hrstd="t" o:hr="t" fillcolor="#a0a0a0" stroked="f"/>
        </w:pict>
      </w:r>
    </w:p>
    <w:p w14:paraId="0B4739D7" w14:textId="77777777" w:rsidR="00005E1E" w:rsidRPr="00005E1E" w:rsidRDefault="00005E1E" w:rsidP="00005E1E">
      <w:pPr>
        <w:rPr>
          <w:b/>
          <w:bCs/>
        </w:rPr>
      </w:pPr>
      <w:proofErr w:type="spellStart"/>
      <w:r w:rsidRPr="00005E1E">
        <w:rPr>
          <w:b/>
          <w:bCs/>
        </w:rPr>
        <w:t>MAGeCK</w:t>
      </w:r>
      <w:proofErr w:type="spellEnd"/>
      <w:r w:rsidRPr="00005E1E">
        <w:rPr>
          <w:b/>
          <w:bCs/>
        </w:rPr>
        <w:t xml:space="preserve"> FDR</w:t>
      </w:r>
    </w:p>
    <w:p w14:paraId="4682B64F" w14:textId="77777777" w:rsidR="00005E1E" w:rsidRPr="00005E1E" w:rsidRDefault="00005E1E" w:rsidP="00005E1E">
      <w:r w:rsidRPr="00005E1E">
        <w:t xml:space="preserve">The false discovery rate (FDR) reported by </w:t>
      </w:r>
      <w:proofErr w:type="spellStart"/>
      <w:r w:rsidRPr="00005E1E">
        <w:t>MAGeCK</w:t>
      </w:r>
      <w:proofErr w:type="spellEnd"/>
      <w:r w:rsidRPr="00005E1E">
        <w:t xml:space="preserve"> represents the expected proportion of false positives among identified gene-level hits.</w:t>
      </w:r>
      <w:r w:rsidRPr="00005E1E">
        <w:br/>
        <w:t>Lower FDR values indicate stronger statistical evidence that perturbation of a gene significantly affects the measured phenotype.</w:t>
      </w:r>
    </w:p>
    <w:p w14:paraId="1F98E04C" w14:textId="33C52CFA" w:rsidR="00005E1E" w:rsidRPr="00005E1E" w:rsidRDefault="00005E1E" w:rsidP="00005E1E">
      <w:pPr>
        <w:rPr>
          <w:b/>
          <w:bCs/>
        </w:rPr>
      </w:pPr>
    </w:p>
    <w:p w14:paraId="16E9545B" w14:textId="77777777" w:rsidR="00005E1E" w:rsidRPr="00005E1E" w:rsidRDefault="00005E1E" w:rsidP="00005E1E">
      <w:pPr>
        <w:rPr>
          <w:b/>
          <w:bCs/>
        </w:rPr>
      </w:pPr>
      <w:r w:rsidRPr="00005E1E">
        <w:rPr>
          <w:b/>
          <w:bCs/>
        </w:rPr>
        <w:lastRenderedPageBreak/>
        <w:pict w14:anchorId="0AE16939">
          <v:rect id="_x0000_i1050" style="width:0;height:1.5pt" o:hralign="center" o:hrstd="t" o:hr="t" fillcolor="#a0a0a0" stroked="f"/>
        </w:pict>
      </w:r>
    </w:p>
    <w:p w14:paraId="1055D5D1" w14:textId="77777777" w:rsidR="00005E1E" w:rsidRPr="00005E1E" w:rsidRDefault="00005E1E" w:rsidP="00005E1E">
      <w:pPr>
        <w:rPr>
          <w:b/>
          <w:bCs/>
        </w:rPr>
      </w:pPr>
      <w:r w:rsidRPr="00005E1E">
        <w:rPr>
          <w:b/>
          <w:bCs/>
        </w:rPr>
        <w:t>Fixed Gene Lists</w:t>
      </w:r>
    </w:p>
    <w:p w14:paraId="47F87397" w14:textId="77777777" w:rsidR="00005E1E" w:rsidRPr="00005E1E" w:rsidRDefault="00005E1E" w:rsidP="00005E1E">
      <w:r w:rsidRPr="00005E1E">
        <w:t>Some studies provide curated gene lists (e.g., top 150 hits) without ranking or statistical scores.</w:t>
      </w:r>
      <w:r w:rsidRPr="00005E1E">
        <w:br/>
        <w:t>These genes are included as provided and treated as predefined candidate sets.</w:t>
      </w:r>
    </w:p>
    <w:p w14:paraId="21773855" w14:textId="7CAA9867" w:rsidR="00005E1E" w:rsidRPr="00005E1E" w:rsidRDefault="00005E1E" w:rsidP="00005E1E">
      <w:pPr>
        <w:rPr>
          <w:b/>
          <w:bCs/>
        </w:rPr>
      </w:pPr>
    </w:p>
    <w:p w14:paraId="75B8CB80" w14:textId="757F7EE9" w:rsidR="00005E1E" w:rsidRPr="00005E1E" w:rsidRDefault="00005E1E" w:rsidP="00005E1E">
      <w:pPr>
        <w:rPr>
          <w:b/>
          <w:bCs/>
        </w:rPr>
      </w:pPr>
      <w:r w:rsidRPr="00005E1E">
        <w:rPr>
          <w:b/>
          <w:bCs/>
        </w:rPr>
        <w:t>Analysis Outputs</w:t>
      </w:r>
    </w:p>
    <w:p w14:paraId="4D63D74C" w14:textId="77777777" w:rsidR="00005E1E" w:rsidRPr="00005E1E" w:rsidRDefault="00005E1E" w:rsidP="00005E1E">
      <w:pPr>
        <w:numPr>
          <w:ilvl w:val="0"/>
          <w:numId w:val="2"/>
        </w:numPr>
      </w:pPr>
      <w:r w:rsidRPr="00005E1E">
        <w:t xml:space="preserve">Overlap tables: number and percentage of CRISPR genes overlapping with </w:t>
      </w:r>
      <w:proofErr w:type="spellStart"/>
      <w:r w:rsidRPr="00005E1E">
        <w:t>chemoproteomics</w:t>
      </w:r>
      <w:proofErr w:type="spellEnd"/>
      <w:r w:rsidRPr="00005E1E">
        <w:t xml:space="preserve"> targets</w:t>
      </w:r>
    </w:p>
    <w:p w14:paraId="0A476ABC" w14:textId="77777777" w:rsidR="00005E1E" w:rsidRPr="00005E1E" w:rsidRDefault="00005E1E" w:rsidP="00005E1E">
      <w:pPr>
        <w:numPr>
          <w:ilvl w:val="0"/>
          <w:numId w:val="2"/>
        </w:numPr>
      </w:pPr>
      <w:r w:rsidRPr="00005E1E">
        <w:t>Bar plots: overlap counts per screen</w:t>
      </w:r>
    </w:p>
    <w:p w14:paraId="70D665E4" w14:textId="77777777" w:rsidR="00005E1E" w:rsidRPr="00005E1E" w:rsidRDefault="00005E1E" w:rsidP="00005E1E">
      <w:pPr>
        <w:numPr>
          <w:ilvl w:val="0"/>
          <w:numId w:val="2"/>
        </w:numPr>
      </w:pPr>
      <w:proofErr w:type="spellStart"/>
      <w:r w:rsidRPr="00005E1E">
        <w:t>UpSet</w:t>
      </w:r>
      <w:proofErr w:type="spellEnd"/>
      <w:r w:rsidRPr="00005E1E">
        <w:t xml:space="preserve"> plots: visualization of multi-screen gene intersections</w:t>
      </w:r>
    </w:p>
    <w:p w14:paraId="6C0FD37C" w14:textId="77777777" w:rsidR="00005E1E" w:rsidRPr="00005E1E" w:rsidRDefault="00005E1E" w:rsidP="00005E1E">
      <w:pPr>
        <w:numPr>
          <w:ilvl w:val="0"/>
          <w:numId w:val="2"/>
        </w:numPr>
      </w:pPr>
      <w:r w:rsidRPr="00005E1E">
        <w:t>Combined prioritization table: genes ranked by number of supporting CRISPR datasets</w:t>
      </w:r>
    </w:p>
    <w:p w14:paraId="36313F66" w14:textId="3734B904" w:rsidR="00005E1E" w:rsidRPr="00005E1E" w:rsidRDefault="00005E1E" w:rsidP="00005E1E">
      <w:pPr>
        <w:rPr>
          <w:b/>
          <w:bCs/>
        </w:rPr>
      </w:pPr>
    </w:p>
    <w:p w14:paraId="1A59EF91" w14:textId="5C14CCF0" w:rsidR="00005E1E" w:rsidRPr="00005E1E" w:rsidRDefault="00005E1E" w:rsidP="00005E1E">
      <w:pPr>
        <w:rPr>
          <w:b/>
          <w:bCs/>
        </w:rPr>
      </w:pPr>
      <w:r w:rsidRPr="00005E1E">
        <w:rPr>
          <w:b/>
          <w:bCs/>
        </w:rPr>
        <w:t>Required R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4015"/>
      </w:tblGrid>
      <w:tr w:rsidR="00005E1E" w:rsidRPr="00005E1E" w14:paraId="6F73E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85A68" w14:textId="77777777" w:rsidR="00005E1E" w:rsidRPr="00005E1E" w:rsidRDefault="00005E1E" w:rsidP="00005E1E">
            <w:pPr>
              <w:rPr>
                <w:b/>
                <w:bCs/>
              </w:rPr>
            </w:pPr>
            <w:r w:rsidRPr="00005E1E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DC0FB41" w14:textId="77777777" w:rsidR="00005E1E" w:rsidRPr="00005E1E" w:rsidRDefault="00005E1E" w:rsidP="00005E1E">
            <w:pPr>
              <w:rPr>
                <w:b/>
                <w:bCs/>
              </w:rPr>
            </w:pPr>
            <w:r w:rsidRPr="00005E1E">
              <w:rPr>
                <w:b/>
                <w:bCs/>
              </w:rPr>
              <w:t>Purpose</w:t>
            </w:r>
          </w:p>
        </w:tc>
      </w:tr>
      <w:tr w:rsidR="00005E1E" w:rsidRPr="00005E1E" w14:paraId="05C8B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8DD8" w14:textId="77777777" w:rsidR="00005E1E" w:rsidRPr="00005E1E" w:rsidRDefault="00005E1E" w:rsidP="00005E1E">
            <w:r w:rsidRPr="00005E1E">
              <w:t>shiny</w:t>
            </w:r>
          </w:p>
        </w:tc>
        <w:tc>
          <w:tcPr>
            <w:tcW w:w="0" w:type="auto"/>
            <w:vAlign w:val="center"/>
            <w:hideMark/>
          </w:tcPr>
          <w:p w14:paraId="3EA973B5" w14:textId="77777777" w:rsidR="00005E1E" w:rsidRPr="00005E1E" w:rsidRDefault="00005E1E" w:rsidP="00005E1E">
            <w:r w:rsidRPr="00005E1E">
              <w:t>Interactive web application framework</w:t>
            </w:r>
          </w:p>
        </w:tc>
      </w:tr>
      <w:tr w:rsidR="00005E1E" w:rsidRPr="00005E1E" w14:paraId="02BB8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1366" w14:textId="77777777" w:rsidR="00005E1E" w:rsidRPr="00005E1E" w:rsidRDefault="00005E1E" w:rsidP="00005E1E">
            <w:proofErr w:type="spellStart"/>
            <w:r w:rsidRPr="00005E1E">
              <w:t>readr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930A1" w14:textId="77777777" w:rsidR="00005E1E" w:rsidRPr="00005E1E" w:rsidRDefault="00005E1E" w:rsidP="00005E1E">
            <w:r w:rsidRPr="00005E1E">
              <w:t>Fast reading of CSV and text files</w:t>
            </w:r>
          </w:p>
        </w:tc>
      </w:tr>
      <w:tr w:rsidR="00005E1E" w:rsidRPr="00005E1E" w14:paraId="6689F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3C38" w14:textId="77777777" w:rsidR="00005E1E" w:rsidRPr="00005E1E" w:rsidRDefault="00005E1E" w:rsidP="00005E1E">
            <w:proofErr w:type="spellStart"/>
            <w:r w:rsidRPr="00005E1E"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52DC7" w14:textId="77777777" w:rsidR="00005E1E" w:rsidRPr="00005E1E" w:rsidRDefault="00005E1E" w:rsidP="00005E1E">
            <w:r w:rsidRPr="00005E1E">
              <w:t>Reading Excel (.xlsx) files</w:t>
            </w:r>
          </w:p>
        </w:tc>
      </w:tr>
      <w:tr w:rsidR="00005E1E" w:rsidRPr="00005E1E" w14:paraId="4D3AA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1102" w14:textId="77777777" w:rsidR="00005E1E" w:rsidRPr="00005E1E" w:rsidRDefault="00005E1E" w:rsidP="00005E1E">
            <w:proofErr w:type="spellStart"/>
            <w:r w:rsidRPr="00005E1E">
              <w:t>dplyr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85D29" w14:textId="77777777" w:rsidR="00005E1E" w:rsidRPr="00005E1E" w:rsidRDefault="00005E1E" w:rsidP="00005E1E">
            <w:r w:rsidRPr="00005E1E">
              <w:t>Data manipulation and filtering</w:t>
            </w:r>
          </w:p>
        </w:tc>
      </w:tr>
      <w:tr w:rsidR="00005E1E" w:rsidRPr="00005E1E" w14:paraId="5C135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28BA" w14:textId="77777777" w:rsidR="00005E1E" w:rsidRPr="00005E1E" w:rsidRDefault="00005E1E" w:rsidP="00005E1E">
            <w:proofErr w:type="spellStart"/>
            <w:r w:rsidRPr="00005E1E">
              <w:t>stringr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B4ADA" w14:textId="77777777" w:rsidR="00005E1E" w:rsidRPr="00005E1E" w:rsidRDefault="00005E1E" w:rsidP="00005E1E">
            <w:r w:rsidRPr="00005E1E">
              <w:t>Gene ID cleaning and string handling</w:t>
            </w:r>
          </w:p>
        </w:tc>
      </w:tr>
      <w:tr w:rsidR="00005E1E" w:rsidRPr="00005E1E" w14:paraId="7CAFF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8B89" w14:textId="77777777" w:rsidR="00005E1E" w:rsidRPr="00005E1E" w:rsidRDefault="00005E1E" w:rsidP="00005E1E">
            <w:r w:rsidRPr="00005E1E">
              <w:t>DT</w:t>
            </w:r>
          </w:p>
        </w:tc>
        <w:tc>
          <w:tcPr>
            <w:tcW w:w="0" w:type="auto"/>
            <w:vAlign w:val="center"/>
            <w:hideMark/>
          </w:tcPr>
          <w:p w14:paraId="10EA0434" w14:textId="77777777" w:rsidR="00005E1E" w:rsidRPr="00005E1E" w:rsidRDefault="00005E1E" w:rsidP="00005E1E">
            <w:r w:rsidRPr="00005E1E">
              <w:t>Interactive data tables</w:t>
            </w:r>
          </w:p>
        </w:tc>
      </w:tr>
      <w:tr w:rsidR="00005E1E" w:rsidRPr="00005E1E" w14:paraId="5D316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4D2B" w14:textId="77777777" w:rsidR="00005E1E" w:rsidRPr="00005E1E" w:rsidRDefault="00005E1E" w:rsidP="00005E1E">
            <w:r w:rsidRPr="00005E1E">
              <w:t>ggplot2</w:t>
            </w:r>
          </w:p>
        </w:tc>
        <w:tc>
          <w:tcPr>
            <w:tcW w:w="0" w:type="auto"/>
            <w:vAlign w:val="center"/>
            <w:hideMark/>
          </w:tcPr>
          <w:p w14:paraId="4DF222E4" w14:textId="77777777" w:rsidR="00005E1E" w:rsidRPr="00005E1E" w:rsidRDefault="00005E1E" w:rsidP="00005E1E">
            <w:r w:rsidRPr="00005E1E">
              <w:t>Data visualization</w:t>
            </w:r>
          </w:p>
        </w:tc>
      </w:tr>
      <w:tr w:rsidR="00005E1E" w:rsidRPr="00005E1E" w14:paraId="7CF0C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1C81" w14:textId="77777777" w:rsidR="00005E1E" w:rsidRPr="00005E1E" w:rsidRDefault="00005E1E" w:rsidP="00005E1E">
            <w:proofErr w:type="spellStart"/>
            <w:r w:rsidRPr="00005E1E">
              <w:t>tidyr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A6711" w14:textId="77777777" w:rsidR="00005E1E" w:rsidRPr="00005E1E" w:rsidRDefault="00005E1E" w:rsidP="00005E1E">
            <w:r w:rsidRPr="00005E1E">
              <w:t>Data reshaping and cleaning</w:t>
            </w:r>
          </w:p>
        </w:tc>
      </w:tr>
      <w:tr w:rsidR="00005E1E" w:rsidRPr="00005E1E" w14:paraId="4787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E829" w14:textId="77777777" w:rsidR="00005E1E" w:rsidRPr="00005E1E" w:rsidRDefault="00005E1E" w:rsidP="00005E1E">
            <w:proofErr w:type="spellStart"/>
            <w:r w:rsidRPr="00005E1E">
              <w:t>ComplexUpset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952B9" w14:textId="77777777" w:rsidR="00005E1E" w:rsidRPr="00005E1E" w:rsidRDefault="00005E1E" w:rsidP="00005E1E">
            <w:r w:rsidRPr="00005E1E">
              <w:t>Visualization of gene set intersections</w:t>
            </w:r>
          </w:p>
        </w:tc>
      </w:tr>
    </w:tbl>
    <w:p w14:paraId="09663347" w14:textId="77777777" w:rsidR="00005E1E" w:rsidRPr="00A8009B" w:rsidRDefault="00005E1E">
      <w:pPr>
        <w:rPr>
          <w:b/>
          <w:bCs/>
        </w:rPr>
      </w:pPr>
    </w:p>
    <w:sectPr w:rsidR="00005E1E" w:rsidRPr="00A80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796F5" w14:textId="77777777" w:rsidR="000E0985" w:rsidRDefault="000E0985" w:rsidP="00A8009B">
      <w:pPr>
        <w:spacing w:after="0" w:line="240" w:lineRule="auto"/>
      </w:pPr>
      <w:r>
        <w:separator/>
      </w:r>
    </w:p>
  </w:endnote>
  <w:endnote w:type="continuationSeparator" w:id="0">
    <w:p w14:paraId="68B46666" w14:textId="77777777" w:rsidR="000E0985" w:rsidRDefault="000E0985" w:rsidP="00A80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E017A" w14:textId="77777777" w:rsidR="000E0985" w:rsidRDefault="000E0985" w:rsidP="00A8009B">
      <w:pPr>
        <w:spacing w:after="0" w:line="240" w:lineRule="auto"/>
      </w:pPr>
      <w:r>
        <w:separator/>
      </w:r>
    </w:p>
  </w:footnote>
  <w:footnote w:type="continuationSeparator" w:id="0">
    <w:p w14:paraId="222DB622" w14:textId="77777777" w:rsidR="000E0985" w:rsidRDefault="000E0985" w:rsidP="00A80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23D7A"/>
    <w:multiLevelType w:val="multilevel"/>
    <w:tmpl w:val="57D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E25B84"/>
    <w:multiLevelType w:val="multilevel"/>
    <w:tmpl w:val="58F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1609">
    <w:abstractNumId w:val="1"/>
  </w:num>
  <w:num w:numId="2" w16cid:durableId="214684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9B"/>
    <w:rsid w:val="00005E1E"/>
    <w:rsid w:val="000E0985"/>
    <w:rsid w:val="00540568"/>
    <w:rsid w:val="005C643A"/>
    <w:rsid w:val="0069318B"/>
    <w:rsid w:val="00831B96"/>
    <w:rsid w:val="0084015B"/>
    <w:rsid w:val="00A8009B"/>
    <w:rsid w:val="00FE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C4E3"/>
  <w15:chartTrackingRefBased/>
  <w15:docId w15:val="{32A0543C-27A8-4DD1-B504-9E6633A5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0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0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09B"/>
  </w:style>
  <w:style w:type="paragraph" w:styleId="Footer">
    <w:name w:val="footer"/>
    <w:basedOn w:val="Normal"/>
    <w:link w:val="FooterChar"/>
    <w:uiPriority w:val="99"/>
    <w:unhideWhenUsed/>
    <w:rsid w:val="00A80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09B"/>
  </w:style>
  <w:style w:type="character" w:styleId="Hyperlink">
    <w:name w:val="Hyperlink"/>
    <w:basedOn w:val="DefaultParagraphFont"/>
    <w:uiPriority w:val="99"/>
    <w:unhideWhenUsed/>
    <w:rsid w:val="00A800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09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5E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88-023-01554-0wa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30449619/" TargetMode="External"/><Relationship Id="rId12" Type="http://schemas.openxmlformats.org/officeDocument/2006/relationships/hyperlink" Target="https://www.biorxiv.org/content/10.1101/2024.11.19.624352v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ience.org/doi/10.1126/science.abj400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nature.com/articles/s41586-025-08795-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153561082200231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Adam, Yahya A</dc:creator>
  <cp:keywords/>
  <dc:description/>
  <cp:lastModifiedBy>Adam, Yahya A</cp:lastModifiedBy>
  <cp:revision>3</cp:revision>
  <dcterms:created xsi:type="dcterms:W3CDTF">2025-12-16T20:33:00Z</dcterms:created>
  <dcterms:modified xsi:type="dcterms:W3CDTF">2025-12-17T07:46:00Z</dcterms:modified>
</cp:coreProperties>
</file>