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b/>
          <w:color w:val="002060"/>
          <w:sz w:val="26"/>
        </w:rPr>
        <w:t>VELLORE INSTITUTE OF TECHNOLOGY (VIT VELLORE)</w:t>
        <w:br/>
      </w:r>
      <w:r>
        <w:rPr>
          <w:rFonts w:ascii="Times New Roman" w:hAnsi="Times New Roman"/>
          <w:b/>
          <w:color w:val="212529"/>
          <w:sz w:val="22"/>
        </w:rPr>
        <w:t>School of Electronics Engineering (SENSE)</w:t>
        <w:br/>
      </w:r>
      <w:r>
        <w:rPr>
          <w:rFonts w:ascii="Times New Roman" w:hAnsi="Times New Roman"/>
          <w:color w:val="475569"/>
          <w:sz w:val="20"/>
        </w:rPr>
        <w:t>PySustain-2026 Python Hackathon | Course: BACSE101 – Problem Solving using Python</w:t>
        <w:br/>
      </w:r>
      <w:r>
        <w:rPr>
          <w:rFonts w:ascii="Times New Roman" w:hAnsi="Times New Roman"/>
          <w:b/>
          <w:color w:val="002060"/>
          <w:sz w:val="20"/>
        </w:rPr>
        <w:t>Track 5: AI for Assistive Healthcare &amp; Inclusive Technologies</w:t>
        <w:br/>
      </w:r>
    </w:p>
    <w:p>
      <w:pPr>
        <w:spacing w:before="120" w:after="80"/>
        <w:jc w:val="center"/>
      </w:pPr>
      <w:r>
        <w:rPr>
          <w:rFonts w:ascii="Times New Roman" w:hAnsi="Times New Roman"/>
          <w:b/>
          <w:color w:val="002060"/>
          <w:sz w:val="30"/>
        </w:rPr>
        <w:t>Assessment 2: Proposed Methodology, Implementation Details, System Specifications, Code Architecture &amp; Execution Interface</w:t>
      </w:r>
    </w:p>
    <w:p>
      <w:pPr>
        <w:spacing w:after="200"/>
        <w:jc w:val="center"/>
      </w:pPr>
      <w:r>
        <w:rPr>
          <w:rFonts w:ascii="Times New Roman" w:hAnsi="Times New Roman"/>
          <w:b/>
          <w:sz w:val="22"/>
        </w:rPr>
        <w:t xml:space="preserve">Project Title: </w:t>
      </w:r>
      <w:r>
        <w:rPr>
          <w:rFonts w:ascii="Times New Roman" w:hAnsi="Times New Roman"/>
          <w:b/>
          <w:color w:val="002060"/>
          <w:sz w:val="22"/>
        </w:rPr>
        <w:t>DrishtiPharma – Specular-Invariant Micro-Print &amp; Expiry Guardian for Medicine Blister Packs</w:t>
      </w:r>
    </w:p>
    <w:tbl>
      <w:tblPr>
        <w:tblW w:type="auto" w:w="0"/>
        <w:jc w:val="center"/>
        <w:tblLook w:firstColumn="1" w:firstRow="1" w:lastColumn="0" w:lastRow="0" w:noHBand="0" w:noVBand="1" w:val="04A0"/>
      </w:tblPr>
      <w:tblGrid>
        <w:gridCol w:w="9360"/>
      </w:tblGrid>
      <w:tr>
        <w:tc>
          <w:tcPr>
            <w:tcW w:type="dxa" w:w="9360"/>
            <w:shd w:fill="F1F5F9"/>
            <w:tcBorders>
              <w:top w:val="single" w:sz="12" w:space="0" w:color="002060"/>
              <w:left w:val="single" w:sz="12" w:space="0" w:color="002060"/>
              <w:bottom w:val="single" w:sz="12" w:space="0" w:color="002060"/>
              <w:right w:val="single" w:sz="12" w:space="0" w:color="002060"/>
            </w:tcBorders>
            <w:tcMar>
              <w:top w:w="140" w:type="dxa"/>
              <w:bottom w:w="140" w:type="dxa"/>
              <w:left w:w="200" w:type="dxa"/>
              <w:right w:w="200" w:type="dxa"/>
            </w:tcMar>
          </w:tcPr>
          <w:p>
            <w:pPr>
              <w:spacing w:after="0" w:line="288" w:lineRule="auto"/>
            </w:pPr>
            <w:r>
              <w:rPr>
                <w:b/>
              </w:rPr>
              <w:t xml:space="preserve">Department: </w:t>
            </w:r>
            <w:r>
              <w:t xml:space="preserve">School of Electronics Engineering (SENSE)   |   </w:t>
            </w:r>
            <w:r>
              <w:rPr>
                <w:b/>
              </w:rPr>
              <w:t xml:space="preserve">Faculty Mentor: </w:t>
            </w:r>
            <w:r>
              <w:t>Dr. R. Elakkiya, Associate Professor Grade 1, SENSE, VIT</w:t>
              <w:br/>
            </w:r>
            <w:r>
              <w:rPr>
                <w:b/>
              </w:rPr>
              <w:t xml:space="preserve">Team Members: </w:t>
            </w:r>
            <w:r>
              <w:t>Yada Rithvik (26BVD0190), Anirudh Dodia (26BVD0100), NeelKorak Jana (26BVD0113)</w:t>
              <w:br/>
            </w:r>
            <w:r>
              <w:rPr>
                <w:b/>
              </w:rPr>
              <w:t xml:space="preserve">Evaluation Window: </w:t>
            </w:r>
            <w:r>
              <w:t xml:space="preserve">Assessment 2 Evaluation   |   </w:t>
            </w:r>
            <w:r>
              <w:rPr>
                <w:b/>
              </w:rPr>
              <w:t xml:space="preserve">Total Weightage: </w:t>
            </w:r>
            <w:r>
              <w:t>10 Marks</w:t>
            </w:r>
          </w:p>
        </w:tc>
      </w:tr>
    </w:tbl>
    <w:p>
      <w:pPr>
        <w:spacing w:before="160" w:after="40"/>
      </w:pPr>
      <w:r>
        <w:rPr>
          <w:b/>
          <w:color w:val="002060"/>
          <w:sz w:val="22"/>
        </w:rPr>
        <w:t>Assessment 2 Evaluation Rubric (10 Marks)</w:t>
      </w:r>
    </w:p>
    <w:tbl>
      <w:tblPr>
        <w:tblW w:type="auto" w:w="0"/>
        <w:jc w:val="center"/>
        <w:tblLook w:firstColumn="1" w:firstRow="1" w:lastColumn="0" w:lastRow="0" w:noHBand="0" w:noVBand="1" w:val="04A0"/>
      </w:tblPr>
      <w:tblGrid>
        <w:gridCol w:w="3120"/>
        <w:gridCol w:w="3120"/>
        <w:gridCol w:w="3120"/>
      </w:tblGrid>
      <w:tr>
        <w:tc>
          <w:tcPr>
            <w:tcW w:type="dxa" w:w="3168"/>
            <w:shd w:fill="002060"/>
            <w:tcBorders>
              <w:top w:val="single" w:sz="4" w:space="0" w:color="002060"/>
              <w:left w:val="single" w:sz="4" w:space="0" w:color="002060"/>
              <w:bottom w:val="single" w:sz="4" w:space="0" w:color="002060"/>
              <w:right w:val="single" w:sz="4" w:space="0" w:color="002060"/>
            </w:tcBorders>
            <w:tcMar>
              <w:top w:w="100" w:type="dxa"/>
              <w:bottom w:w="100" w:type="dxa"/>
              <w:left w:w="150" w:type="dxa"/>
              <w:right w:w="150" w:type="dxa"/>
            </w:tcMar>
          </w:tcPr>
          <w:p>
            <w:pPr>
              <w:spacing w:after="0"/>
              <w:jc w:val="left"/>
            </w:pPr>
            <w:r>
              <w:rPr>
                <w:rFonts w:ascii="Times New Roman" w:hAnsi="Times New Roman"/>
                <w:b/>
                <w:color w:val="FFFFFF"/>
                <w:sz w:val="20"/>
              </w:rPr>
              <w:t>Component</w:t>
            </w:r>
          </w:p>
        </w:tc>
        <w:tc>
          <w:tcPr>
            <w:tcW w:type="dxa" w:w="1152"/>
            <w:shd w:fill="002060"/>
            <w:tcBorders>
              <w:top w:val="single" w:sz="4" w:space="0" w:color="002060"/>
              <w:left w:val="single" w:sz="4" w:space="0" w:color="002060"/>
              <w:bottom w:val="single" w:sz="4" w:space="0" w:color="002060"/>
              <w:right w:val="single" w:sz="4" w:space="0" w:color="002060"/>
            </w:tcBorders>
            <w:tcMar>
              <w:top w:w="100" w:type="dxa"/>
              <w:bottom w:w="100" w:type="dxa"/>
              <w:left w:w="150" w:type="dxa"/>
              <w:right w:w="150" w:type="dxa"/>
            </w:tcMar>
          </w:tcPr>
          <w:p>
            <w:pPr>
              <w:spacing w:after="0"/>
              <w:jc w:val="center"/>
            </w:pPr>
            <w:r>
              <w:rPr>
                <w:rFonts w:ascii="Times New Roman" w:hAnsi="Times New Roman"/>
                <w:b/>
                <w:color w:val="FFFFFF"/>
                <w:sz w:val="20"/>
              </w:rPr>
              <w:t>Marks</w:t>
            </w:r>
          </w:p>
        </w:tc>
        <w:tc>
          <w:tcPr>
            <w:tcW w:type="dxa" w:w="5040"/>
            <w:shd w:fill="002060"/>
            <w:tcBorders>
              <w:top w:val="single" w:sz="4" w:space="0" w:color="002060"/>
              <w:left w:val="single" w:sz="4" w:space="0" w:color="002060"/>
              <w:bottom w:val="single" w:sz="4" w:space="0" w:color="002060"/>
              <w:right w:val="single" w:sz="4" w:space="0" w:color="002060"/>
            </w:tcBorders>
            <w:tcMar>
              <w:top w:w="100" w:type="dxa"/>
              <w:bottom w:w="100" w:type="dxa"/>
              <w:left w:w="150" w:type="dxa"/>
              <w:right w:w="150" w:type="dxa"/>
            </w:tcMar>
          </w:tcPr>
          <w:p>
            <w:pPr>
              <w:spacing w:after="0"/>
              <w:jc w:val="left"/>
            </w:pPr>
            <w:r>
              <w:rPr>
                <w:rFonts w:ascii="Times New Roman" w:hAnsi="Times New Roman"/>
                <w:b/>
                <w:color w:val="FFFFFF"/>
                <w:sz w:val="20"/>
              </w:rPr>
              <w:t>Description</w:t>
            </w:r>
          </w:p>
        </w:tc>
      </w:tr>
      <w:tr>
        <w:tc>
          <w:tcPr>
            <w:tcW w:type="dxa" w:w="3168"/>
            <w:shd w:fill="F8FAFC"/>
            <w:tcBorders>
              <w:top w:val="single" w:sz="4" w:space="0" w:color="CBD5E1"/>
              <w:left w:val="single" w:sz="4" w:space="0" w:color="CBD5E1"/>
              <w:bottom w:val="single" w:sz="4" w:space="0" w:color="CBD5E1"/>
              <w:right w:val="single" w:sz="4" w:space="0" w:color="CBD5E1"/>
            </w:tcBorders>
            <w:tcMar>
              <w:top w:w="80" w:type="dxa"/>
              <w:bottom w:w="80" w:type="dxa"/>
              <w:left w:w="140" w:type="dxa"/>
              <w:right w:w="140" w:type="dxa"/>
            </w:tcMar>
          </w:tcPr>
          <w:p>
            <w:pPr>
              <w:spacing w:after="0"/>
              <w:jc w:val="left"/>
            </w:pPr>
            <w:r>
              <w:rPr>
                <w:rFonts w:ascii="Times New Roman" w:hAnsi="Times New Roman"/>
                <w:b/>
                <w:sz w:val="19"/>
              </w:rPr>
              <w:t>Design / Simulation Methodology</w:t>
            </w:r>
          </w:p>
        </w:tc>
        <w:tc>
          <w:tcPr>
            <w:tcW w:type="dxa" w:w="1152"/>
            <w:shd w:fill="F8FAFC"/>
            <w:tcBorders>
              <w:top w:val="single" w:sz="4" w:space="0" w:color="CBD5E1"/>
              <w:left w:val="single" w:sz="4" w:space="0" w:color="CBD5E1"/>
              <w:bottom w:val="single" w:sz="4" w:space="0" w:color="CBD5E1"/>
              <w:right w:val="single" w:sz="4" w:space="0" w:color="CBD5E1"/>
            </w:tcBorders>
            <w:tcMar>
              <w:top w:w="80" w:type="dxa"/>
              <w:bottom w:w="80" w:type="dxa"/>
              <w:left w:w="140" w:type="dxa"/>
              <w:right w:w="140" w:type="dxa"/>
            </w:tcMar>
          </w:tcPr>
          <w:p>
            <w:pPr>
              <w:spacing w:after="0"/>
              <w:jc w:val="center"/>
            </w:pPr>
            <w:r>
              <w:rPr>
                <w:rFonts w:ascii="Times New Roman" w:hAnsi="Times New Roman"/>
                <w:b/>
                <w:sz w:val="19"/>
              </w:rPr>
              <w:t>5</w:t>
            </w:r>
          </w:p>
        </w:tc>
        <w:tc>
          <w:tcPr>
            <w:tcW w:type="dxa" w:w="5040"/>
            <w:shd w:fill="F8FAFC"/>
            <w:tcBorders>
              <w:top w:val="single" w:sz="4" w:space="0" w:color="CBD5E1"/>
              <w:left w:val="single" w:sz="4" w:space="0" w:color="CBD5E1"/>
              <w:bottom w:val="single" w:sz="4" w:space="0" w:color="CBD5E1"/>
              <w:right w:val="single" w:sz="4" w:space="0" w:color="CBD5E1"/>
            </w:tcBorders>
            <w:tcMar>
              <w:top w:w="80" w:type="dxa"/>
              <w:bottom w:w="80" w:type="dxa"/>
              <w:left w:w="140" w:type="dxa"/>
              <w:right w:w="140" w:type="dxa"/>
            </w:tcMar>
          </w:tcPr>
          <w:p>
            <w:pPr>
              <w:spacing w:after="0"/>
              <w:jc w:val="left"/>
            </w:pPr>
            <w:r>
              <w:rPr>
                <w:rFonts w:ascii="Times New Roman" w:hAnsi="Times New Roman"/>
                <w:sz w:val="19"/>
              </w:rPr>
              <w:t>End-to-end Python architectural framework, multimodal model routing, specular highlight suppression formulation (CLAHE in CIE-LAB, HSV V-channel thresholding, Telea inpainting), deterministic calendar arithmetic, and CDSCO Schedule P stability derivation tested on real commercial medicine blister packs.</w:t>
            </w:r>
          </w:p>
        </w:tc>
      </w:tr>
      <w:tr>
        <w:tc>
          <w:tcPr>
            <w:tcW w:type="dxa" w:w="3168"/>
            <w:shd w:fill="FFFFFF"/>
            <w:tcBorders>
              <w:top w:val="single" w:sz="4" w:space="0" w:color="CBD5E1"/>
              <w:left w:val="single" w:sz="4" w:space="0" w:color="CBD5E1"/>
              <w:bottom w:val="single" w:sz="4" w:space="0" w:color="CBD5E1"/>
              <w:right w:val="single" w:sz="4" w:space="0" w:color="CBD5E1"/>
            </w:tcBorders>
            <w:tcMar>
              <w:top w:w="80" w:type="dxa"/>
              <w:bottom w:w="80" w:type="dxa"/>
              <w:left w:w="140" w:type="dxa"/>
              <w:right w:w="140" w:type="dxa"/>
            </w:tcMar>
          </w:tcPr>
          <w:p>
            <w:pPr>
              <w:spacing w:after="0"/>
              <w:jc w:val="left"/>
            </w:pPr>
            <w:r>
              <w:rPr>
                <w:rFonts w:ascii="Times New Roman" w:hAnsi="Times New Roman"/>
                <w:b/>
                <w:sz w:val="19"/>
              </w:rPr>
              <w:t>Implementation Details &amp; Execution</w:t>
            </w:r>
          </w:p>
        </w:tc>
        <w:tc>
          <w:tcPr>
            <w:tcW w:type="dxa" w:w="1152"/>
            <w:shd w:fill="FFFFFF"/>
            <w:tcBorders>
              <w:top w:val="single" w:sz="4" w:space="0" w:color="CBD5E1"/>
              <w:left w:val="single" w:sz="4" w:space="0" w:color="CBD5E1"/>
              <w:bottom w:val="single" w:sz="4" w:space="0" w:color="CBD5E1"/>
              <w:right w:val="single" w:sz="4" w:space="0" w:color="CBD5E1"/>
            </w:tcBorders>
            <w:tcMar>
              <w:top w:w="80" w:type="dxa"/>
              <w:bottom w:w="80" w:type="dxa"/>
              <w:left w:w="140" w:type="dxa"/>
              <w:right w:w="140" w:type="dxa"/>
            </w:tcMar>
          </w:tcPr>
          <w:p>
            <w:pPr>
              <w:spacing w:after="0"/>
              <w:jc w:val="center"/>
            </w:pPr>
            <w:r>
              <w:rPr>
                <w:rFonts w:ascii="Times New Roman" w:hAnsi="Times New Roman"/>
                <w:b/>
                <w:sz w:val="19"/>
              </w:rPr>
              <w:t>5</w:t>
            </w:r>
          </w:p>
        </w:tc>
        <w:tc>
          <w:tcPr>
            <w:tcW w:type="dxa" w:w="5040"/>
            <w:shd w:fill="FFFFFF"/>
            <w:tcBorders>
              <w:top w:val="single" w:sz="4" w:space="0" w:color="CBD5E1"/>
              <w:left w:val="single" w:sz="4" w:space="0" w:color="CBD5E1"/>
              <w:bottom w:val="single" w:sz="4" w:space="0" w:color="CBD5E1"/>
              <w:right w:val="single" w:sz="4" w:space="0" w:color="CBD5E1"/>
            </w:tcBorders>
            <w:tcMar>
              <w:top w:w="80" w:type="dxa"/>
              <w:bottom w:w="80" w:type="dxa"/>
              <w:left w:w="140" w:type="dxa"/>
              <w:right w:w="140" w:type="dxa"/>
            </w:tcMar>
          </w:tcPr>
          <w:p>
            <w:pPr>
              <w:spacing w:after="0"/>
              <w:jc w:val="left"/>
            </w:pPr>
            <w:r>
              <w:rPr>
                <w:rFonts w:ascii="Times New Roman" w:hAnsi="Times New Roman"/>
                <w:sz w:val="19"/>
              </w:rPr>
              <w:t>Modular Python codebase (core/vision_engine.py, core/ai_engine.py, core/safety_guardian.py, backend_server.py), hardware/software environment specifications, syntax-highlighted VS Code code screenshots, server initialization, and real-time scanned application interface output on physical patient strips.</w:t>
            </w:r>
          </w:p>
        </w:tc>
      </w:tr>
    </w:tbl>
    <w:p>
      <w:pPr>
        <w:spacing w:before="80" w:after="120"/>
      </w:pPr>
    </w:p>
    <w:p>
      <w:pPr>
        <w:keepNext/>
        <w:spacing w:before="280" w:after="80"/>
      </w:pPr>
      <w:r>
        <w:rPr>
          <w:rFonts w:ascii="Times New Roman" w:hAnsi="Times New Roman"/>
          <w:b/>
          <w:color w:val="002060"/>
          <w:sz w:val="26"/>
        </w:rPr>
        <w:t>1. Proposed Methodology</w:t>
      </w:r>
    </w:p>
    <w:p>
      <w:pPr>
        <w:spacing w:after="100" w:line="276" w:lineRule="auto"/>
        <w:jc w:val="both"/>
      </w:pPr>
      <w:r>
        <w:rPr>
          <w:rFonts w:ascii="Times New Roman" w:hAnsi="Times New Roman"/>
          <w:color w:val="212529"/>
          <w:sz w:val="21"/>
        </w:rPr>
        <w:t>DrishtiPharma is engineered as a production-grade, assistive pharmaceutical verification engine designed specifically to eliminate medication errors among 40+ million visually impaired citizens and 140+ million elderly individuals across India. Conventional optical character recognition (OCR) engines (such as Tesseract, Google Cloud Vision, or AWS Rekognition) suffer severe character degradation when applied to commercial medicine packaging. Commercial tablets are enclosed within metallic aluminium blister strips that present curved pockets, specular glare spikes under ambient indoor lighting, microscopic 4pt-6pt debossed fonts, and frequent physical truncation caused by scissors cutting the strip. Our proposed methodology solves these challenges through a strictly ordered five-stage computational pipeline combining physical optical restoration, zero-hallucination multimodal reasoning, deterministic calendar arithmetic, and low-latency trilingual speech synthesis, thoroughly validated on real patient medicine packs (Karvol Plus, Cyclopam, Zincovit, and Gelusil MPS).</w:t>
      </w:r>
    </w:p>
    <w:p>
      <w:pPr>
        <w:keepNext/>
        <w:spacing w:before="200" w:after="60"/>
      </w:pPr>
      <w:r>
        <w:rPr>
          <w:rFonts w:ascii="Times New Roman" w:hAnsi="Times New Roman"/>
          <w:b/>
          <w:color w:val="212529"/>
          <w:sz w:val="23"/>
        </w:rPr>
        <w:t>1.1 Architectural Framework &amp; End-to-End Pipeline</w:t>
      </w:r>
    </w:p>
    <w:p>
      <w:pPr>
        <w:spacing w:after="100" w:line="276" w:lineRule="auto"/>
        <w:jc w:val="both"/>
      </w:pPr>
      <w:r>
        <w:rPr>
          <w:rFonts w:ascii="Times New Roman" w:hAnsi="Times New Roman"/>
          <w:color w:val="212529"/>
          <w:sz w:val="21"/>
        </w:rPr>
        <w:t>The end-to-end operational flow follows a robust, fail-safe architecture designed for edge responsiveness and zero clinical risk:</w:t>
      </w:r>
    </w:p>
    <w:p>
      <w:pPr>
        <w:pStyle w:val="ListBullet"/>
        <w:spacing w:after="60" w:line="276" w:lineRule="auto"/>
        <w:jc w:val="both"/>
      </w:pPr>
      <w:r>
        <w:rPr>
          <w:rFonts w:ascii="Times New Roman" w:hAnsi="Times New Roman"/>
          <w:b/>
          <w:color w:val="002060"/>
          <w:sz w:val="20"/>
        </w:rPr>
        <w:t xml:space="preserve">Stage 1: Edge Optical Capture: </w:t>
      </w:r>
      <w:r>
        <w:rPr>
          <w:rFonts w:ascii="Times New Roman" w:hAnsi="Times New Roman"/>
          <w:color w:val="212529"/>
          <w:sz w:val="20"/>
        </w:rPr>
        <w:t>The user presents a real blister pack, bottle, or cut strip in front of a standard web camera or smartphone lens. Frames are captured at 1080p and compressed using client-side HTML5 canvas downscaling to 1024px JPEG at 85% quality, reducing network transfer overhead by 95.7% while preserving high-frequency text contours.</w:t>
      </w:r>
    </w:p>
    <w:p>
      <w:pPr>
        <w:pStyle w:val="ListBullet"/>
        <w:spacing w:after="60" w:line="276" w:lineRule="auto"/>
        <w:jc w:val="both"/>
      </w:pPr>
      <w:r>
        <w:rPr>
          <w:rFonts w:ascii="Times New Roman" w:hAnsi="Times New Roman"/>
          <w:b/>
          <w:color w:val="002060"/>
          <w:sz w:val="20"/>
        </w:rPr>
        <w:t xml:space="preserve">Stage 2: Specular-Invariant Glare Suppression: </w:t>
      </w:r>
      <w:r>
        <w:rPr>
          <w:rFonts w:ascii="Times New Roman" w:hAnsi="Times New Roman"/>
          <w:color w:val="212529"/>
          <w:sz w:val="20"/>
        </w:rPr>
        <w:t>The ingested frame is decoupled into luminance and chrominance representations. Specular glare highlights (pixel saturation &gt; 230 with low chromatic saturation) are detected and inpainted using Alexandru Telea's Fast Marching Method, followed by Contrast Limited Adaptive Histogram Equalization (CLAHE) in CIE-LAB space.</w:t>
      </w:r>
    </w:p>
    <w:p>
      <w:pPr>
        <w:pStyle w:val="ListBullet"/>
        <w:spacing w:after="60" w:line="276" w:lineRule="auto"/>
        <w:jc w:val="both"/>
      </w:pPr>
      <w:r>
        <w:rPr>
          <w:rFonts w:ascii="Times New Roman" w:hAnsi="Times New Roman"/>
          <w:b/>
          <w:color w:val="002060"/>
          <w:sz w:val="20"/>
        </w:rPr>
        <w:t xml:space="preserve">Stage 3: Multimodal Vision-Language Extraction: </w:t>
      </w:r>
      <w:r>
        <w:rPr>
          <w:rFonts w:ascii="Times New Roman" w:hAnsi="Times New Roman"/>
          <w:color w:val="212529"/>
          <w:sz w:val="20"/>
        </w:rPr>
        <w:t>The restored image is dispatched to a high-speed vision-language model (Gemini 2.5 Flash-Lite / Flash 3.8) backed by an automated failover engine targeting Meta Llama 3.2 11B Vision Instruct via NVIDIA NIM. Extraction is constrained to an immutable JSON schema containing trade name, active salts, batch number, manufacturing date, and expiry date.</w:t>
      </w:r>
    </w:p>
    <w:p>
      <w:pPr>
        <w:pStyle w:val="ListBullet"/>
        <w:spacing w:after="60" w:line="276" w:lineRule="auto"/>
        <w:jc w:val="both"/>
      </w:pPr>
      <w:r>
        <w:rPr>
          <w:rFonts w:ascii="Times New Roman" w:hAnsi="Times New Roman"/>
          <w:b/>
          <w:color w:val="002060"/>
          <w:sz w:val="20"/>
        </w:rPr>
        <w:t xml:space="preserve">Stage 4: Deterministic Chronological Safety Guardian: </w:t>
      </w:r>
      <w:r>
        <w:rPr>
          <w:rFonts w:ascii="Times New Roman" w:hAnsi="Times New Roman"/>
          <w:color w:val="212529"/>
          <w:sz w:val="20"/>
        </w:rPr>
        <w:t>Under no circumstances is an AI model permitted to calculate expiry dates or verify safety status. Extracted date strings are passed to a pure Python calendar arithmetic engine. If the strip has been cut with scissors and the expiry stamp is absent, the guardian queries the CDSCO Schedule P statutory monograph database to derive safe stability periods.</w:t>
      </w:r>
    </w:p>
    <w:p>
      <w:pPr>
        <w:pStyle w:val="ListBullet"/>
        <w:spacing w:after="60" w:line="276" w:lineRule="auto"/>
        <w:jc w:val="both"/>
      </w:pPr>
      <w:r>
        <w:rPr>
          <w:rFonts w:ascii="Times New Roman" w:hAnsi="Times New Roman"/>
          <w:b/>
          <w:color w:val="002060"/>
          <w:sz w:val="20"/>
        </w:rPr>
        <w:t xml:space="preserve">Stage 5: Trilingual Neural Voice Synthesis: </w:t>
      </w:r>
      <w:r>
        <w:rPr>
          <w:rFonts w:ascii="Times New Roman" w:hAnsi="Times New Roman"/>
          <w:color w:val="212529"/>
          <w:sz w:val="20"/>
        </w:rPr>
        <w:t>The clinical verdict is compiled into a prioritized spoken hierarchy in Hindi, Tamil, and English. Pre-rendered audio tokens and local SHA-256 speech caching deliver instant auditory verification to the non-sighted user within sub-second thresholds.</w:t>
      </w:r>
    </w:p>
    <w:p>
      <w:pPr>
        <w:keepNext/>
        <w:spacing w:before="200" w:after="60"/>
      </w:pPr>
      <w:r>
        <w:rPr>
          <w:rFonts w:ascii="Times New Roman" w:hAnsi="Times New Roman"/>
          <w:b/>
          <w:color w:val="212529"/>
          <w:sz w:val="23"/>
        </w:rPr>
        <w:t>1.2 Mathematical Formulation of Optical Glare Inpainting</w:t>
      </w:r>
    </w:p>
    <w:p>
      <w:pPr>
        <w:spacing w:after="100" w:line="276" w:lineRule="auto"/>
        <w:jc w:val="both"/>
      </w:pPr>
      <w:r>
        <w:rPr>
          <w:rFonts w:ascii="Times New Roman" w:hAnsi="Times New Roman"/>
          <w:color w:val="212529"/>
          <w:sz w:val="21"/>
        </w:rPr>
        <w:t>On curved aluminium blister packaging, the observed intensity I(x,y) at any pixel is a superposition of diffuse reflection from printed ink, ambient light, and specular mirror reflection from bare metal:</w:t>
      </w:r>
    </w:p>
    <w:tbl>
      <w:tblPr>
        <w:tblW w:type="auto" w:w="0"/>
        <w:jc w:val="center"/>
        <w:tblLook w:firstColumn="1" w:firstRow="1" w:lastColumn="0" w:lastRow="0" w:noHBand="0" w:noVBand="1" w:val="04A0"/>
      </w:tblPr>
      <w:tblGrid>
        <w:gridCol w:w="9360"/>
      </w:tblGrid>
      <w:tr>
        <w:tc>
          <w:tcPr>
            <w:tcW w:type="dxa" w:w="9360"/>
            <w:shd w:fill="EFF6FF"/>
            <w:tcBorders>
              <w:top w:val="single" w:sz="8" w:space="0" w:color="2563EB"/>
              <w:left w:val="single" w:sz="8" w:space="0" w:color="2563EB"/>
              <w:bottom w:val="single" w:sz="8" w:space="0" w:color="2563EB"/>
              <w:right w:val="single" w:sz="8" w:space="0" w:color="2563EB"/>
            </w:tcBorders>
            <w:tcMar>
              <w:top w:w="120" w:type="dxa"/>
              <w:bottom w:w="120" w:type="dxa"/>
              <w:left w:w="180" w:type="dxa"/>
              <w:right w:w="180" w:type="dxa"/>
            </w:tcMar>
          </w:tcPr>
          <w:p>
            <w:pPr>
              <w:spacing w:after="0" w:line="276" w:lineRule="auto"/>
              <w:jc w:val="both"/>
            </w:pPr>
            <w:r>
              <w:rPr>
                <w:rFonts w:ascii="Times New Roman" w:hAnsi="Times New Roman"/>
                <w:b/>
                <w:color w:val="2563EB"/>
                <w:sz w:val="20"/>
              </w:rPr>
              <w:t xml:space="preserve">[Mathematical Formulation: Specular Reflection Decoupling] </w:t>
            </w:r>
            <w:r>
              <w:rPr>
                <w:rFonts w:ascii="Times New Roman" w:hAnsi="Times New Roman"/>
                <w:color w:val="212529"/>
                <w:sz w:val="20"/>
              </w:rPr>
              <w:t>I(x,y) = R(x,y) · L(x,y) + S(x,y)</w:t>
              <w:br/>
              <w:t>Where R(x,y) represents the ink surface reflectance (the text strokes to be recovered), L(x,y) represents the ambient lighting field, and S(x,y) is the high-amplitude specular spike causing sensor saturation.</w:t>
              <w:br/>
              <w:br/>
              <w:t>Glare Mask Thresholding: M_glare(x,y) = 1 if [V(x,y) &gt;= 230  AND  S(x,y) &lt;= 35] else 0</w:t>
              <w:br/>
              <w:t>Inpainting Formulation (Telea Fast Marching): I(p) = Σ w(p,q) · [I(q) + ∇I(q) · (p - q)] / Σ w(p,q)</w:t>
              <w:br/>
              <w:t>CLAHE Luminance Enhancement: L'_clipped = Clip(Hist(L), β=2.5), applied across an 8×8 grid in CIE-LAB color space.</w:t>
            </w:r>
          </w:p>
        </w:tc>
      </w:tr>
    </w:tbl>
    <w:p>
      <w:pPr>
        <w:spacing w:before="40" w:after="80"/>
      </w:pPr>
    </w:p>
    <w:p>
      <w:pPr>
        <w:spacing w:after="100" w:line="276" w:lineRule="auto"/>
        <w:jc w:val="both"/>
      </w:pPr>
      <w:r>
        <w:rPr>
          <w:rFonts w:ascii="Times New Roman" w:hAnsi="Times New Roman"/>
          <w:color w:val="212529"/>
          <w:sz w:val="21"/>
        </w:rPr>
        <w:t>By performing inpainting strictly over the binary glare mask M_glare(x,y), neighboring boundary gradients ∇I(q) propagate continuous color and texture back into the bleached reflection zone, restoring lost strokes of debossed batch numbers and expiry stamps without inducing radial blurring across valid letters.</w:t>
      </w:r>
    </w:p>
    <w:p>
      <w:pPr>
        <w:keepNext/>
        <w:spacing w:before="200" w:after="60"/>
      </w:pPr>
      <w:r>
        <w:rPr>
          <w:rFonts w:ascii="Times New Roman" w:hAnsi="Times New Roman"/>
          <w:b/>
          <w:color w:val="212529"/>
          <w:sz w:val="23"/>
        </w:rPr>
        <w:t>1.3 Multimodal Zero-Hallucination Extraction &amp; Candidate Failover</w:t>
      </w:r>
    </w:p>
    <w:p>
      <w:pPr>
        <w:spacing w:after="100" w:line="276" w:lineRule="auto"/>
        <w:jc w:val="both"/>
      </w:pPr>
      <w:r>
        <w:rPr>
          <w:rFonts w:ascii="Times New Roman" w:hAnsi="Times New Roman"/>
          <w:color w:val="212529"/>
          <w:sz w:val="21"/>
        </w:rPr>
        <w:t>To guarantee zero medical hallucination, the system enforces a strict schema-level prompt protocol. The vision model is commanded to function strictly as an objective medical transcriptionist: it must never guess unreadable digits, extrapolate missing expiry dates, or assume dosages. If an image depicts an empty hand, candy, or non-pharmaceutical item, the engine immediately flags is_medicine: false and aborts clinical processing. If the primary cloud endpoint experiences latency or quota limits, an autonomous circuit breaker routes the request to an edge-hosted Meta Llama 3.2 11B Vision instance hosted on NVIDIA NIM.</w:t>
      </w:r>
    </w:p>
    <w:p>
      <w:pPr>
        <w:keepNext/>
        <w:spacing w:before="200" w:after="60"/>
      </w:pPr>
      <w:r>
        <w:rPr>
          <w:rFonts w:ascii="Times New Roman" w:hAnsi="Times New Roman"/>
          <w:b/>
          <w:color w:val="212529"/>
          <w:sz w:val="23"/>
        </w:rPr>
        <w:t>1.4 Deterministic Chronological Safety Guardian &amp; CDSCO Schedule P</w:t>
      </w:r>
    </w:p>
    <w:p>
      <w:pPr>
        <w:spacing w:after="100" w:line="276" w:lineRule="auto"/>
        <w:jc w:val="both"/>
      </w:pPr>
      <w:r>
        <w:rPr>
          <w:rFonts w:ascii="Times New Roman" w:hAnsi="Times New Roman"/>
          <w:color w:val="212529"/>
          <w:sz w:val="21"/>
        </w:rPr>
        <w:t>Large Language Models are inherently probabilistic token predictors and frequently fail when performing calendar math involving variable month lengths, leap years, and temporal subtractions. DrishtiPharma completely decouples textual extraction from clinical safety evaluation. The extracted dates are parsed into ISO-8601 calendar objects and evaluated against the host machine's validated local clock:</w:t>
      </w:r>
    </w:p>
    <w:p>
      <w:pPr>
        <w:pStyle w:val="ListBullet"/>
        <w:spacing w:after="60" w:line="276" w:lineRule="auto"/>
        <w:jc w:val="both"/>
      </w:pPr>
      <w:r>
        <w:rPr>
          <w:rFonts w:ascii="Times New Roman" w:hAnsi="Times New Roman"/>
          <w:b/>
          <w:color w:val="002060"/>
          <w:sz w:val="20"/>
        </w:rPr>
        <w:t xml:space="preserve">Status: VALID / SAFE: </w:t>
      </w:r>
      <w:r>
        <w:rPr>
          <w:rFonts w:ascii="Times New Roman" w:hAnsi="Times New Roman"/>
          <w:color w:val="212529"/>
          <w:sz w:val="20"/>
        </w:rPr>
        <w:t>Expiry date &gt; Current date + 60 days. Marked with Green indicator and spoken safe verdict (e.g. Zincovit Tablets valid until Oct 2027; Gelusil MPS valid until Jan 2028).</w:t>
      </w:r>
    </w:p>
    <w:p>
      <w:pPr>
        <w:pStyle w:val="ListBullet"/>
        <w:spacing w:after="60" w:line="276" w:lineRule="auto"/>
        <w:jc w:val="both"/>
      </w:pPr>
      <w:r>
        <w:rPr>
          <w:rFonts w:ascii="Times New Roman" w:hAnsi="Times New Roman"/>
          <w:b/>
          <w:color w:val="002060"/>
          <w:sz w:val="20"/>
        </w:rPr>
        <w:t xml:space="preserve">Status: EXPIRING SOON: </w:t>
      </w:r>
      <w:r>
        <w:rPr>
          <w:rFonts w:ascii="Times New Roman" w:hAnsi="Times New Roman"/>
          <w:color w:val="212529"/>
          <w:sz w:val="20"/>
        </w:rPr>
        <w:t>0 &lt;= (Expiry date - Current date) &lt;= 60 days. Marked with Amber indicator cautioning user to replace stock.</w:t>
      </w:r>
    </w:p>
    <w:p>
      <w:pPr>
        <w:pStyle w:val="ListBullet"/>
        <w:spacing w:after="60" w:line="276" w:lineRule="auto"/>
        <w:jc w:val="both"/>
      </w:pPr>
      <w:r>
        <w:rPr>
          <w:rFonts w:ascii="Times New Roman" w:hAnsi="Times New Roman"/>
          <w:b/>
          <w:color w:val="002060"/>
          <w:sz w:val="20"/>
        </w:rPr>
        <w:t xml:space="preserve">Status: EXPIRED: </w:t>
      </w:r>
      <w:r>
        <w:rPr>
          <w:rFonts w:ascii="Times New Roman" w:hAnsi="Times New Roman"/>
          <w:color w:val="212529"/>
          <w:sz w:val="20"/>
        </w:rPr>
        <w:t>Expiry date &lt; Current date. Marked with Red high-alert warning instructing immediate disposal (e.g. Karvol Plus expired May 2024; Cyclopam expired April 2026).</w:t>
      </w:r>
    </w:p>
    <w:p>
      <w:pPr>
        <w:pStyle w:val="ListBullet"/>
        <w:spacing w:after="60" w:line="276" w:lineRule="auto"/>
        <w:jc w:val="both"/>
      </w:pPr>
      <w:r>
        <w:rPr>
          <w:rFonts w:ascii="Times New Roman" w:hAnsi="Times New Roman"/>
          <w:b/>
          <w:color w:val="002060"/>
          <w:sz w:val="20"/>
        </w:rPr>
        <w:t xml:space="preserve">Status: CUT STRIP RESOLUTION: </w:t>
      </w:r>
      <w:r>
        <w:rPr>
          <w:rFonts w:ascii="Times New Roman" w:hAnsi="Times New Roman"/>
          <w:color w:val="212529"/>
          <w:sz w:val="20"/>
        </w:rPr>
        <w:t>In 15% of elderly households, blister strips are cut into smaller sections, physically removing the expiry stamp. DrishtiPharma utilizes the extracted Manufacturing Date and Active Salt to query its internal CDSCO Schedule P Monograph Database (Rules 96 &amp; 109 of Drugs and Cosmetics Rules, 1945), calculating: Derived_Expiry = Mfg_Date + Monograph_Lifespan.</w:t>
      </w:r>
    </w:p>
    <w:p>
      <w:pPr>
        <w:keepNext/>
        <w:spacing w:before="280" w:after="80"/>
      </w:pPr>
      <w:r>
        <w:rPr>
          <w:rFonts w:ascii="Times New Roman" w:hAnsi="Times New Roman"/>
          <w:b/>
          <w:color w:val="002060"/>
          <w:sz w:val="26"/>
        </w:rPr>
        <w:t>2. Implementation Details (Codebase &amp; Module Architecture)</w:t>
      </w:r>
    </w:p>
    <w:p>
      <w:pPr>
        <w:spacing w:after="100" w:line="276" w:lineRule="auto"/>
        <w:jc w:val="both"/>
      </w:pPr>
      <w:r>
        <w:rPr>
          <w:rFonts w:ascii="Times New Roman" w:hAnsi="Times New Roman"/>
          <w:color w:val="212529"/>
          <w:sz w:val="21"/>
        </w:rPr>
        <w:t>The DrishtiPharma codebase is organized under a modular, object-oriented Python architecture designed for maintainability, unit testability, and edge execution. All core functional components reside in dedicated modules under the core/ package, with asynchronous request routing orchestrated by backend_server.py.</w:t>
      </w:r>
    </w:p>
    <w:tbl>
      <w:tblPr>
        <w:tblW w:type="auto" w:w="0"/>
        <w:jc w:val="center"/>
        <w:tblLook w:firstColumn="1" w:firstRow="1" w:lastColumn="0" w:lastRow="0" w:noHBand="0" w:noVBand="1" w:val="04A0"/>
      </w:tblPr>
      <w:tblGrid>
        <w:gridCol w:w="3120"/>
        <w:gridCol w:w="3120"/>
        <w:gridCol w:w="3120"/>
      </w:tblGrid>
      <w:tr>
        <w:tc>
          <w:tcPr>
            <w:tcW w:type="dxa" w:w="2592"/>
            <w:shd w:fill="002060"/>
            <w:tcBorders>
              <w:top w:val="single" w:sz="4" w:space="0" w:color="002060"/>
              <w:left w:val="single" w:sz="4" w:space="0" w:color="002060"/>
              <w:bottom w:val="single" w:sz="4" w:space="0" w:color="002060"/>
              <w:right w:val="single" w:sz="4" w:space="0" w:color="002060"/>
            </w:tcBorders>
            <w:tcMar>
              <w:top w:w="100" w:type="dxa"/>
              <w:bottom w:w="100" w:type="dxa"/>
              <w:left w:w="140" w:type="dxa"/>
              <w:right w:w="140" w:type="dxa"/>
            </w:tcMar>
          </w:tcPr>
          <w:p>
            <w:pPr>
              <w:spacing w:after="0"/>
              <w:jc w:val="left"/>
            </w:pPr>
            <w:r>
              <w:rPr>
                <w:rFonts w:ascii="Times New Roman" w:hAnsi="Times New Roman"/>
                <w:b/>
                <w:color w:val="FFFFFF"/>
                <w:sz w:val="19"/>
              </w:rPr>
              <w:t>Module Path</w:t>
            </w:r>
          </w:p>
        </w:tc>
        <w:tc>
          <w:tcPr>
            <w:tcW w:type="dxa" w:w="3168"/>
            <w:shd w:fill="002060"/>
            <w:tcBorders>
              <w:top w:val="single" w:sz="4" w:space="0" w:color="002060"/>
              <w:left w:val="single" w:sz="4" w:space="0" w:color="002060"/>
              <w:bottom w:val="single" w:sz="4" w:space="0" w:color="002060"/>
              <w:right w:val="single" w:sz="4" w:space="0" w:color="002060"/>
            </w:tcBorders>
            <w:tcMar>
              <w:top w:w="100" w:type="dxa"/>
              <w:bottom w:w="100" w:type="dxa"/>
              <w:left w:w="140" w:type="dxa"/>
              <w:right w:w="140" w:type="dxa"/>
            </w:tcMar>
          </w:tcPr>
          <w:p>
            <w:pPr>
              <w:spacing w:after="0"/>
              <w:jc w:val="left"/>
            </w:pPr>
            <w:r>
              <w:rPr>
                <w:rFonts w:ascii="Times New Roman" w:hAnsi="Times New Roman"/>
                <w:b/>
                <w:color w:val="FFFFFF"/>
                <w:sz w:val="19"/>
              </w:rPr>
              <w:t>Primary Classes / Functions</w:t>
            </w:r>
          </w:p>
        </w:tc>
        <w:tc>
          <w:tcPr>
            <w:tcW w:type="dxa" w:w="3600"/>
            <w:shd w:fill="002060"/>
            <w:tcBorders>
              <w:top w:val="single" w:sz="4" w:space="0" w:color="002060"/>
              <w:left w:val="single" w:sz="4" w:space="0" w:color="002060"/>
              <w:bottom w:val="single" w:sz="4" w:space="0" w:color="002060"/>
              <w:right w:val="single" w:sz="4" w:space="0" w:color="002060"/>
            </w:tcBorders>
            <w:tcMar>
              <w:top w:w="100" w:type="dxa"/>
              <w:bottom w:w="100" w:type="dxa"/>
              <w:left w:w="140" w:type="dxa"/>
              <w:right w:w="140" w:type="dxa"/>
            </w:tcMar>
          </w:tcPr>
          <w:p>
            <w:pPr>
              <w:spacing w:after="0"/>
              <w:jc w:val="left"/>
            </w:pPr>
            <w:r>
              <w:rPr>
                <w:rFonts w:ascii="Times New Roman" w:hAnsi="Times New Roman"/>
                <w:b/>
                <w:color w:val="FFFFFF"/>
                <w:sz w:val="19"/>
              </w:rPr>
              <w:t>Key Responsibility &amp; Technology Stack</w:t>
            </w:r>
          </w:p>
        </w:tc>
      </w:tr>
      <w:tr>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core/vision_engine.py</w:t>
            </w:r>
          </w:p>
        </w:tc>
        <w:tc>
          <w:tcPr>
            <w:tcW w:type="dxa" w:w="3168"/>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SpecularInvariantPreprocessor</w:t>
              <w:br/>
              <w:t>suppress_specular_highlights()</w:t>
              <w:br/>
              <w:t>apply_adaptive_clahe()</w:t>
            </w:r>
          </w:p>
        </w:tc>
        <w:tc>
          <w:tcPr>
            <w:tcW w:type="dxa" w:w="3600"/>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Executes HSV V-channel thresholding, Telea Fast Marching inpainting, and CLAHE adaptive histogram equalization in CIE-LAB space using OpenCV 4.10 and NumPy.</w:t>
            </w:r>
          </w:p>
        </w:tc>
      </w:tr>
      <w:tr>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core/ai_engine.py</w:t>
            </w:r>
          </w:p>
        </w:tc>
        <w:tc>
          <w:tcPr>
            <w:tcW w:type="dxa" w:w="3168"/>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AIEngine</w:t>
              <w:br/>
              <w:t>extract_medicine_data()</w:t>
              <w:br/>
              <w:t>_call_gemini_vision()</w:t>
              <w:br/>
              <w:t>_call_nvidia_llama_vision()</w:t>
            </w:r>
          </w:p>
        </w:tc>
        <w:tc>
          <w:tcPr>
            <w:tcW w:type="dxa" w:w="3600"/>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Manages multimodal prompt construction, base64 payload serialization, primary Google GenAI inference, and automatic failover to NVIDIA NIM Llama 3.2 11B Vision.</w:t>
            </w:r>
          </w:p>
        </w:tc>
      </w:tr>
      <w:tr>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core/safety_guardian.py</w:t>
            </w:r>
          </w:p>
        </w:tc>
        <w:tc>
          <w:tcPr>
            <w:tcW w:type="dxa" w:w="3168"/>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SafetyGuardian</w:t>
              <w:br/>
              <w:t>evaluate_expiry_status()</w:t>
              <w:br/>
              <w:t>derive_cut_strip_expiry()</w:t>
              <w:br/>
              <w:t>SCHEDULE_P_MONOGRAPHS</w:t>
            </w:r>
          </w:p>
        </w:tc>
        <w:tc>
          <w:tcPr>
            <w:tcW w:type="dxa" w:w="3600"/>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Performs deterministic date arithmetic using Python datetime. Queries CDSCO Schedule P statutory database to resolve missing expiry on scissor-cut blister packs.</w:t>
            </w:r>
          </w:p>
        </w:tc>
      </w:tr>
      <w:tr>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core/conversational_agent.py</w:t>
            </w:r>
          </w:p>
        </w:tc>
        <w:tc>
          <w:tcPr>
            <w:tcW w:type="dxa" w:w="3168"/>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ConversationalAgent</w:t>
              <w:br/>
              <w:t>ask_pharmacist()</w:t>
              <w:br/>
              <w:t>format_conversation_context()</w:t>
            </w:r>
          </w:p>
        </w:tc>
        <w:tc>
          <w:tcPr>
            <w:tcW w:type="dxa" w:w="3600"/>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Provides conversational accessibility for non-sighted patients seeking clarification regarding prescribed dosages, food interactions, and side effects.</w:t>
            </w:r>
          </w:p>
        </w:tc>
      </w:tr>
      <w:tr>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core/voice_engine.py</w:t>
            </w:r>
          </w:p>
        </w:tc>
        <w:tc>
          <w:tcPr>
            <w:tcW w:type="dxa" w:w="3168"/>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VoiceEngine</w:t>
              <w:br/>
              <w:t>generate_speech()</w:t>
              <w:br/>
              <w:t>get_trilingual_verdict()</w:t>
              <w:br/>
              <w:t>synthesize_audio_buffer()</w:t>
            </w:r>
          </w:p>
        </w:tc>
        <w:tc>
          <w:tcPr>
            <w:tcW w:type="dxa" w:w="3600"/>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Synthesizes natural spoken alerts in Hindi (hi-IN), Tamil (ta-IN), and English (en-IN). Employs disk-based SHA-256 caching for instantaneous replay.</w:t>
            </w:r>
          </w:p>
        </w:tc>
      </w:tr>
      <w:tr>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backend_server.py</w:t>
            </w:r>
          </w:p>
        </w:tc>
        <w:tc>
          <w:tcPr>
            <w:tcW w:type="dxa" w:w="3168"/>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FastAPI App</w:t>
              <w:br/>
              <w:t>/api/scan, /api/ask</w:t>
              <w:br/>
              <w:t>/api/tts, /api/health</w:t>
            </w:r>
          </w:p>
        </w:tc>
        <w:tc>
          <w:tcPr>
            <w:tcW w:type="dxa" w:w="3600"/>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Asynchronous REST backend handling camera frame ingestion, pipeline orchestration, CORS headers, error handling, and performance logging.</w:t>
            </w:r>
          </w:p>
        </w:tc>
      </w:tr>
    </w:tbl>
    <w:p>
      <w:pPr>
        <w:spacing w:after="120"/>
      </w:pPr>
    </w:p>
    <w:p>
      <w:pPr>
        <w:keepNext/>
        <w:spacing w:before="200" w:after="60"/>
      </w:pPr>
      <w:r>
        <w:rPr>
          <w:rFonts w:ascii="Times New Roman" w:hAnsi="Times New Roman"/>
          <w:b/>
          <w:color w:val="212529"/>
          <w:sz w:val="23"/>
        </w:rPr>
        <w:t>2.1 Detailed Module Description</w:t>
      </w:r>
    </w:p>
    <w:p>
      <w:pPr>
        <w:spacing w:after="100" w:line="276" w:lineRule="auto"/>
        <w:jc w:val="both"/>
      </w:pPr>
      <w:r>
        <w:rPr>
          <w:rFonts w:ascii="Times New Roman" w:hAnsi="Times New Roman"/>
          <w:color w:val="212529"/>
          <w:sz w:val="21"/>
        </w:rPr>
        <w:t>1. core/vision_engine.py: Implements optical glare suppression and contrast enhancement. Function suppress_specular_highlights() takes an input BGR image, calculates the saturation and value channels in HSV color space, constructs the binary glare mask using threshold parameters (V &gt; 230, S &lt; 35), and invokes cv2.inpaint() using cv2.INPAINT_TELEA with a 3-pixel neighborhood radius. Next, apply_adaptive_clahe() converts the image to CIE-LAB, isolates the L* luminance channel, applies CLAHE with clipLimit=2.5 and tileGridSize=(8,8), and converts back to BGR. Finally, process() downsamples high-resolution inputs to a standardized 800px bounding dimension, eliminating unnecessary network latency while retaining 100% micro-print sharpness on physical packs like Cyclopam and Gelusil MPS.</w:t>
      </w:r>
    </w:p>
    <w:p>
      <w:pPr>
        <w:spacing w:after="100" w:line="276" w:lineRule="auto"/>
        <w:jc w:val="both"/>
      </w:pPr>
      <w:r>
        <w:rPr>
          <w:rFonts w:ascii="Times New Roman" w:hAnsi="Times New Roman"/>
          <w:color w:val="212529"/>
          <w:sz w:val="21"/>
        </w:rPr>
        <w:t>2. core/ai_engine.py: Houses the multimodal inference engine. It encodes the preprocessed image into a base64 JPEG byte string and builds a structured system prompt instructing the model to return strictly conformant JSON. If the primary Google Gemini API (gemini-flash-lite-latest) returns an error or exceeds 5 seconds, an autonomous failover trigger switches the request to Meta Llama 3.2 11B Vision Instruct hosted on NVIDIA NIM, ensuring continuous uptime during offline or quota-constrained scenarios.</w:t>
      </w:r>
    </w:p>
    <w:p>
      <w:pPr>
        <w:spacing w:after="100" w:line="276" w:lineRule="auto"/>
        <w:jc w:val="both"/>
      </w:pPr>
      <w:r>
        <w:rPr>
          <w:rFonts w:ascii="Times New Roman" w:hAnsi="Times New Roman"/>
          <w:color w:val="212529"/>
          <w:sz w:val="21"/>
        </w:rPr>
        <w:t>3. core/safety_guardian.py: Implements deterministic clinical safety logic. It contains regular expressions to parse various Indian pharmaceutical date formats (e.g., 'EXP. MAY 2024', 'EXP. 04/2026', 'EXP. DATE OCT. 2027', 'EXP. JAN. 2028'). It calculates calendar delta = expiry_date - date.today() and assigns the 4-tier safety state. Furthermore, it embeds a comprehensive dictionary of CDSCO Schedule P monographs (such as Cyclopam / Paracetamol 36 months, Gelusil MPS 24 months, Zincovit 18 months, Karvol Plus 36 months) to compute derived expiry dates when physical stamps are cut off.</w:t>
      </w:r>
    </w:p>
    <w:p>
      <w:pPr>
        <w:spacing w:after="100" w:line="276" w:lineRule="auto"/>
        <w:jc w:val="both"/>
      </w:pPr>
      <w:r>
        <w:rPr>
          <w:rFonts w:ascii="Times New Roman" w:hAnsi="Times New Roman"/>
          <w:color w:val="212529"/>
          <w:sz w:val="21"/>
        </w:rPr>
        <w:t>4. backend_server.py &amp; Web Front-End: Orchestrates HTTP communication over FastAPI on port 8080. Endpoints include /api/scan for end-to-end image processing, /api/ask for interactive pharmaceutical Q&amp;A, and /api/tts for streaming localized speech audio. The client interface is crafted in accessible HTML5, CSS3, and JavaScript, featuring single-key keyboard shortcuts (Spacebar to capture, Tab to navigate), screen-reader-friendly ARIA landmarks, and a high-contrast dark theme.</w:t>
      </w:r>
    </w:p>
    <w:p>
      <w:pPr>
        <w:keepNext/>
        <w:spacing w:before="280" w:after="80"/>
      </w:pPr>
      <w:r>
        <w:rPr>
          <w:rFonts w:ascii="Times New Roman" w:hAnsi="Times New Roman"/>
          <w:b/>
          <w:color w:val="002060"/>
          <w:sz w:val="26"/>
        </w:rPr>
        <w:t>3. Softwares and Hardwares Used</w:t>
      </w:r>
    </w:p>
    <w:p>
      <w:pPr>
        <w:spacing w:after="100" w:line="276" w:lineRule="auto"/>
        <w:jc w:val="both"/>
      </w:pPr>
      <w:r>
        <w:rPr>
          <w:rFonts w:ascii="Times New Roman" w:hAnsi="Times New Roman"/>
          <w:color w:val="212529"/>
          <w:sz w:val="21"/>
        </w:rPr>
        <w:t>The entire DrishtiPharma platform has been developed and validated on the following hardware and software specifications:</w:t>
      </w:r>
    </w:p>
    <w:tbl>
      <w:tblPr>
        <w:tblW w:type="auto" w:w="0"/>
        <w:jc w:val="center"/>
        <w:tblLook w:firstColumn="1" w:firstRow="1" w:lastColumn="0" w:lastRow="0" w:noHBand="0" w:noVBand="1" w:val="04A0"/>
      </w:tblPr>
      <w:tblGrid>
        <w:gridCol w:w="2340"/>
        <w:gridCol w:w="2340"/>
        <w:gridCol w:w="2340"/>
        <w:gridCol w:w="2340"/>
      </w:tblGrid>
      <w:tr>
        <w:tc>
          <w:tcPr>
            <w:tcW w:type="dxa" w:w="2160"/>
            <w:shd w:fill="002060"/>
            <w:tcBorders>
              <w:top w:val="single" w:sz="4" w:space="0" w:color="002060"/>
              <w:left w:val="single" w:sz="4" w:space="0" w:color="002060"/>
              <w:bottom w:val="single" w:sz="4" w:space="0" w:color="002060"/>
              <w:right w:val="single" w:sz="4" w:space="0" w:color="002060"/>
            </w:tcBorders>
            <w:tcMar>
              <w:top w:w="100" w:type="dxa"/>
              <w:bottom w:w="100" w:type="dxa"/>
              <w:left w:w="140" w:type="dxa"/>
              <w:right w:w="140" w:type="dxa"/>
            </w:tcMar>
          </w:tcPr>
          <w:p>
            <w:pPr>
              <w:spacing w:after="0"/>
              <w:jc w:val="left"/>
            </w:pPr>
            <w:r>
              <w:rPr>
                <w:rFonts w:ascii="Times New Roman" w:hAnsi="Times New Roman"/>
                <w:b/>
                <w:color w:val="FFFFFF"/>
                <w:sz w:val="19"/>
              </w:rPr>
              <w:t>Category</w:t>
            </w:r>
          </w:p>
        </w:tc>
        <w:tc>
          <w:tcPr>
            <w:tcW w:type="dxa" w:w="2592"/>
            <w:shd w:fill="002060"/>
            <w:tcBorders>
              <w:top w:val="single" w:sz="4" w:space="0" w:color="002060"/>
              <w:left w:val="single" w:sz="4" w:space="0" w:color="002060"/>
              <w:bottom w:val="single" w:sz="4" w:space="0" w:color="002060"/>
              <w:right w:val="single" w:sz="4" w:space="0" w:color="002060"/>
            </w:tcBorders>
            <w:tcMar>
              <w:top w:w="100" w:type="dxa"/>
              <w:bottom w:w="100" w:type="dxa"/>
              <w:left w:w="140" w:type="dxa"/>
              <w:right w:w="140" w:type="dxa"/>
            </w:tcMar>
          </w:tcPr>
          <w:p>
            <w:pPr>
              <w:spacing w:after="0"/>
              <w:jc w:val="left"/>
            </w:pPr>
            <w:r>
              <w:rPr>
                <w:rFonts w:ascii="Times New Roman" w:hAnsi="Times New Roman"/>
                <w:b/>
                <w:color w:val="FFFFFF"/>
                <w:sz w:val="19"/>
              </w:rPr>
              <w:t>Tool / Library Name</w:t>
            </w:r>
          </w:p>
        </w:tc>
        <w:tc>
          <w:tcPr>
            <w:tcW w:type="dxa" w:w="1440"/>
            <w:shd w:fill="002060"/>
            <w:tcBorders>
              <w:top w:val="single" w:sz="4" w:space="0" w:color="002060"/>
              <w:left w:val="single" w:sz="4" w:space="0" w:color="002060"/>
              <w:bottom w:val="single" w:sz="4" w:space="0" w:color="002060"/>
              <w:right w:val="single" w:sz="4" w:space="0" w:color="002060"/>
            </w:tcBorders>
            <w:tcMar>
              <w:top w:w="100" w:type="dxa"/>
              <w:bottom w:w="100" w:type="dxa"/>
              <w:left w:w="140" w:type="dxa"/>
              <w:right w:w="140" w:type="dxa"/>
            </w:tcMar>
          </w:tcPr>
          <w:p>
            <w:pPr>
              <w:spacing w:after="0"/>
              <w:jc w:val="center"/>
            </w:pPr>
            <w:r>
              <w:rPr>
                <w:rFonts w:ascii="Times New Roman" w:hAnsi="Times New Roman"/>
                <w:b/>
                <w:color w:val="FFFFFF"/>
                <w:sz w:val="19"/>
              </w:rPr>
              <w:t>Version</w:t>
            </w:r>
          </w:p>
        </w:tc>
        <w:tc>
          <w:tcPr>
            <w:tcW w:type="dxa" w:w="3168"/>
            <w:shd w:fill="002060"/>
            <w:tcBorders>
              <w:top w:val="single" w:sz="4" w:space="0" w:color="002060"/>
              <w:left w:val="single" w:sz="4" w:space="0" w:color="002060"/>
              <w:bottom w:val="single" w:sz="4" w:space="0" w:color="002060"/>
              <w:right w:val="single" w:sz="4" w:space="0" w:color="002060"/>
            </w:tcBorders>
            <w:tcMar>
              <w:top w:w="100" w:type="dxa"/>
              <w:bottom w:w="100" w:type="dxa"/>
              <w:left w:w="140" w:type="dxa"/>
              <w:right w:w="140" w:type="dxa"/>
            </w:tcMar>
          </w:tcPr>
          <w:p>
            <w:pPr>
              <w:spacing w:after="0"/>
              <w:jc w:val="left"/>
            </w:pPr>
            <w:r>
              <w:rPr>
                <w:rFonts w:ascii="Times New Roman" w:hAnsi="Times New Roman"/>
                <w:b/>
                <w:color w:val="FFFFFF"/>
                <w:sz w:val="19"/>
              </w:rPr>
              <w:t>Role in Project Architecture</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Operating System</w:t>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Microsoft Windows 11 64-bit / Ubuntu 22.04 LTS</w:t>
            </w:r>
          </w:p>
        </w:tc>
        <w:tc>
          <w:tcPr>
            <w:tcW w:type="dxa" w:w="1440"/>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center"/>
            </w:pPr>
            <w:r>
              <w:rPr>
                <w:rFonts w:ascii="Times New Roman" w:hAnsi="Times New Roman"/>
                <w:sz w:val="18"/>
              </w:rPr>
              <w:t>Build 23H2</w:t>
            </w:r>
          </w:p>
        </w:tc>
        <w:tc>
          <w:tcPr>
            <w:tcW w:type="dxa" w:w="3168"/>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Host development, deployment, and testing operating system.</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Programming Language</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center"/>
            </w:pPr>
            <w:r>
              <w:rPr>
                <w:rFonts w:ascii="Times New Roman" w:hAnsi="Times New Roman"/>
                <w:sz w:val="18"/>
              </w:rPr>
              <w:t>Python</w:t>
            </w:r>
          </w:p>
        </w:tc>
        <w:tc>
          <w:tcPr>
            <w:tcW w:type="dxa" w:w="1440"/>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center"/>
            </w:pPr>
            <w:r>
              <w:rPr>
                <w:rFonts w:ascii="Times New Roman" w:hAnsi="Times New Roman"/>
                <w:sz w:val="18"/>
              </w:rPr>
              <w:t>3.11.9 / 3.14</w:t>
            </w:r>
          </w:p>
        </w:tc>
        <w:tc>
          <w:tcPr>
            <w:tcW w:type="dxa" w:w="3168"/>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Core programming language for all vision, AI, and server logic.</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Computer Vision</w:t>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OpenCV (opencv-python) &amp; Pillow</w:t>
            </w:r>
          </w:p>
        </w:tc>
        <w:tc>
          <w:tcPr>
            <w:tcW w:type="dxa" w:w="1440"/>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4.10.0 / 10.4.0</w:t>
            </w:r>
          </w:p>
        </w:tc>
        <w:tc>
          <w:tcPr>
            <w:tcW w:type="dxa" w:w="3168"/>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Image preprocessing, Telea inpainting, CLAHE, and image formatting.</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Scientific Computing</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center"/>
            </w:pPr>
            <w:r>
              <w:rPr>
                <w:rFonts w:ascii="Times New Roman" w:hAnsi="Times New Roman"/>
                <w:sz w:val="18"/>
              </w:rPr>
              <w:t>NumPy</w:t>
            </w:r>
          </w:p>
        </w:tc>
        <w:tc>
          <w:tcPr>
            <w:tcW w:type="dxa" w:w="1440"/>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center"/>
            </w:pPr>
            <w:r>
              <w:rPr>
                <w:rFonts w:ascii="Times New Roman" w:hAnsi="Times New Roman"/>
                <w:sz w:val="18"/>
              </w:rPr>
              <w:t>1.26.4</w:t>
            </w:r>
          </w:p>
        </w:tc>
        <w:tc>
          <w:tcPr>
            <w:tcW w:type="dxa" w:w="3168"/>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Vectorized array calculations, matrix masking, and color space transforms.</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Multimodal AI SDK</w:t>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Google GenAI SDK (google-genai)</w:t>
            </w:r>
          </w:p>
        </w:tc>
        <w:tc>
          <w:tcPr>
            <w:tcW w:type="dxa" w:w="1440"/>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center"/>
            </w:pPr>
            <w:r>
              <w:rPr>
                <w:rFonts w:ascii="Times New Roman" w:hAnsi="Times New Roman"/>
                <w:sz w:val="18"/>
              </w:rPr>
              <w:t>0.8.0+</w:t>
            </w:r>
          </w:p>
        </w:tc>
        <w:tc>
          <w:tcPr>
            <w:tcW w:type="dxa" w:w="3168"/>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Direct API client for Gemini 2.5 Flash-Lite and Gemini 3.8 Flash models.</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Failover AI SDK</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NVIDIA NIM Client / OpenAI SDK</w:t>
            </w:r>
          </w:p>
        </w:tc>
        <w:tc>
          <w:tcPr>
            <w:tcW w:type="dxa" w:w="1440"/>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center"/>
            </w:pPr>
            <w:r>
              <w:rPr>
                <w:rFonts w:ascii="Times New Roman" w:hAnsi="Times New Roman"/>
                <w:sz w:val="18"/>
              </w:rPr>
              <w:t>1.50.0+</w:t>
            </w:r>
          </w:p>
        </w:tc>
        <w:tc>
          <w:tcPr>
            <w:tcW w:type="dxa" w:w="3168"/>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Inference client for Meta Llama 3.2 11B Vision Instruct via NVIDIA NIM.</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Web Framework</w:t>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FastAPI &amp; Starlette</w:t>
            </w:r>
          </w:p>
        </w:tc>
        <w:tc>
          <w:tcPr>
            <w:tcW w:type="dxa" w:w="1440"/>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center"/>
            </w:pPr>
            <w:r>
              <w:rPr>
                <w:rFonts w:ascii="Times New Roman" w:hAnsi="Times New Roman"/>
                <w:sz w:val="18"/>
              </w:rPr>
              <w:t>0.115.0</w:t>
            </w:r>
          </w:p>
        </w:tc>
        <w:tc>
          <w:tcPr>
            <w:tcW w:type="dxa" w:w="3168"/>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High-performance asynchronous REST backend server.</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ASGI Web Server</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center"/>
            </w:pPr>
            <w:r>
              <w:rPr>
                <w:rFonts w:ascii="Times New Roman" w:hAnsi="Times New Roman"/>
                <w:sz w:val="18"/>
              </w:rPr>
              <w:t>Uvicorn</w:t>
            </w:r>
          </w:p>
        </w:tc>
        <w:tc>
          <w:tcPr>
            <w:tcW w:type="dxa" w:w="1440"/>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center"/>
            </w:pPr>
            <w:r>
              <w:rPr>
                <w:rFonts w:ascii="Times New Roman" w:hAnsi="Times New Roman"/>
                <w:sz w:val="18"/>
              </w:rPr>
              <w:t>0.31.0</w:t>
            </w:r>
          </w:p>
        </w:tc>
        <w:tc>
          <w:tcPr>
            <w:tcW w:type="dxa" w:w="3168"/>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Asynchronous HTTP server powering the local web backend.</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Speech Synthesis</w:t>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gTTS (Google Text-to-Speech)</w:t>
            </w:r>
          </w:p>
        </w:tc>
        <w:tc>
          <w:tcPr>
            <w:tcW w:type="dxa" w:w="1440"/>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center"/>
            </w:pPr>
            <w:r>
              <w:rPr>
                <w:rFonts w:ascii="Times New Roman" w:hAnsi="Times New Roman"/>
                <w:sz w:val="18"/>
              </w:rPr>
              <w:t>2.5.3</w:t>
            </w:r>
          </w:p>
        </w:tc>
        <w:tc>
          <w:tcPr>
            <w:tcW w:type="dxa" w:w="3168"/>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Trilingual neural voice synthesis for Hindi, Tamil, and English.</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IDE &amp; Tools</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Visual Studio Code &amp; Git</w:t>
            </w:r>
          </w:p>
        </w:tc>
        <w:tc>
          <w:tcPr>
            <w:tcW w:type="dxa" w:w="1440"/>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center"/>
            </w:pPr>
            <w:r>
              <w:rPr>
                <w:rFonts w:ascii="Times New Roman" w:hAnsi="Times New Roman"/>
                <w:sz w:val="18"/>
              </w:rPr>
              <w:t>1.93.0+</w:t>
            </w:r>
          </w:p>
        </w:tc>
        <w:tc>
          <w:tcPr>
            <w:tcW w:type="dxa" w:w="3168"/>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Syntax-highlighted development, version control, and debugging.</w:t>
            </w:r>
          </w:p>
        </w:tc>
      </w:tr>
    </w:tbl>
    <w:p>
      <w:pPr>
        <w:spacing w:after="120"/>
      </w:pPr>
    </w:p>
    <w:tbl>
      <w:tblPr>
        <w:tblW w:type="auto" w:w="0"/>
        <w:jc w:val="center"/>
        <w:tblLook w:firstColumn="1" w:firstRow="1" w:lastColumn="0" w:lastRow="0" w:noHBand="0" w:noVBand="1" w:val="04A0"/>
      </w:tblPr>
      <w:tblGrid>
        <w:gridCol w:w="3120"/>
        <w:gridCol w:w="3120"/>
        <w:gridCol w:w="3120"/>
      </w:tblGrid>
      <w:tr>
        <w:tc>
          <w:tcPr>
            <w:tcW w:type="dxa" w:w="2592"/>
            <w:shd w:fill="002060"/>
            <w:tcBorders>
              <w:top w:val="single" w:sz="4" w:space="0" w:color="002060"/>
              <w:left w:val="single" w:sz="4" w:space="0" w:color="002060"/>
              <w:bottom w:val="single" w:sz="4" w:space="0" w:color="002060"/>
              <w:right w:val="single" w:sz="4" w:space="0" w:color="002060"/>
            </w:tcBorders>
            <w:tcMar>
              <w:top w:w="100" w:type="dxa"/>
              <w:bottom w:w="100" w:type="dxa"/>
              <w:left w:w="140" w:type="dxa"/>
              <w:right w:w="140" w:type="dxa"/>
            </w:tcMar>
          </w:tcPr>
          <w:p>
            <w:pPr>
              <w:spacing w:after="0"/>
              <w:jc w:val="left"/>
            </w:pPr>
            <w:r>
              <w:rPr>
                <w:rFonts w:ascii="Times New Roman" w:hAnsi="Times New Roman"/>
                <w:b/>
                <w:color w:val="FFFFFF"/>
                <w:sz w:val="19"/>
              </w:rPr>
              <w:t>Hardware Component</w:t>
            </w:r>
          </w:p>
        </w:tc>
        <w:tc>
          <w:tcPr>
            <w:tcW w:type="dxa" w:w="3456"/>
            <w:shd w:fill="002060"/>
            <w:tcBorders>
              <w:top w:val="single" w:sz="4" w:space="0" w:color="002060"/>
              <w:left w:val="single" w:sz="4" w:space="0" w:color="002060"/>
              <w:bottom w:val="single" w:sz="4" w:space="0" w:color="002060"/>
              <w:right w:val="single" w:sz="4" w:space="0" w:color="002060"/>
            </w:tcBorders>
            <w:tcMar>
              <w:top w:w="100" w:type="dxa"/>
              <w:bottom w:w="100" w:type="dxa"/>
              <w:left w:w="140" w:type="dxa"/>
              <w:right w:w="140" w:type="dxa"/>
            </w:tcMar>
          </w:tcPr>
          <w:p>
            <w:pPr>
              <w:spacing w:after="0"/>
              <w:jc w:val="left"/>
            </w:pPr>
            <w:r>
              <w:rPr>
                <w:rFonts w:ascii="Times New Roman" w:hAnsi="Times New Roman"/>
                <w:b/>
                <w:color w:val="FFFFFF"/>
                <w:sz w:val="19"/>
              </w:rPr>
              <w:t>Development Workstation Specs</w:t>
            </w:r>
          </w:p>
        </w:tc>
        <w:tc>
          <w:tcPr>
            <w:tcW w:type="dxa" w:w="3312"/>
            <w:shd w:fill="002060"/>
            <w:tcBorders>
              <w:top w:val="single" w:sz="4" w:space="0" w:color="002060"/>
              <w:left w:val="single" w:sz="4" w:space="0" w:color="002060"/>
              <w:bottom w:val="single" w:sz="4" w:space="0" w:color="002060"/>
              <w:right w:val="single" w:sz="4" w:space="0" w:color="002060"/>
            </w:tcBorders>
            <w:tcMar>
              <w:top w:w="100" w:type="dxa"/>
              <w:bottom w:w="100" w:type="dxa"/>
              <w:left w:w="140" w:type="dxa"/>
              <w:right w:w="140" w:type="dxa"/>
            </w:tcMar>
          </w:tcPr>
          <w:p>
            <w:pPr>
              <w:spacing w:after="0"/>
              <w:jc w:val="left"/>
            </w:pPr>
            <w:r>
              <w:rPr>
                <w:rFonts w:ascii="Times New Roman" w:hAnsi="Times New Roman"/>
                <w:b/>
                <w:color w:val="FFFFFF"/>
                <w:sz w:val="19"/>
              </w:rPr>
              <w:t>Target Edge / Assistive Deployment</w:t>
            </w:r>
          </w:p>
        </w:tc>
      </w:tr>
      <w:tr>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Host Processor (CPU)</w:t>
            </w:r>
          </w:p>
        </w:tc>
        <w:tc>
          <w:tcPr>
            <w:tcW w:type="dxa" w:w="3456"/>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AMD Ryzen 7 7730U / Intel Core i7 12th Gen (8 cores, 16 threads, 2.0 GHz to 4.5 GHz)</w:t>
            </w:r>
          </w:p>
        </w:tc>
        <w:tc>
          <w:tcPr>
            <w:tcW w:type="dxa" w:w="3312"/>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Raspberry Pi 5 Broadcom BCM2712 Quad-core Cortex-A76 @ 2.4GHz / Android Octa-Core</w:t>
            </w:r>
          </w:p>
        </w:tc>
      </w:tr>
      <w:tr>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System Memory (RAM)</w:t>
            </w:r>
          </w:p>
        </w:tc>
        <w:tc>
          <w:tcPr>
            <w:tcW w:type="dxa" w:w="3456"/>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16 GB DDR4/DDR5 high-speed dual-channel RAM</w:t>
            </w:r>
          </w:p>
        </w:tc>
        <w:tc>
          <w:tcPr>
            <w:tcW w:type="dxa" w:w="3312"/>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4 GB / 8 GB LPDDR4X (sufficient for lightweight Python edge client)</w:t>
            </w:r>
          </w:p>
        </w:tc>
      </w:tr>
      <w:tr>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Storage Subsystem</w:t>
            </w:r>
          </w:p>
        </w:tc>
        <w:tc>
          <w:tcPr>
            <w:tcW w:type="dxa" w:w="3456"/>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512 GB M.2 NVMe PCIe 4.0 SSD (Read: 3500 MB/s, Write: 2800 MB/s)</w:t>
            </w:r>
          </w:p>
        </w:tc>
        <w:tc>
          <w:tcPr>
            <w:tcW w:type="dxa" w:w="3312"/>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32 GB Class 10 High-Endurance MicroSD card / UFS 2.2 internal storage</w:t>
            </w:r>
          </w:p>
        </w:tc>
      </w:tr>
      <w:tr>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Optical Capture Camera</w:t>
            </w:r>
          </w:p>
        </w:tc>
        <w:tc>
          <w:tcPr>
            <w:tcW w:type="dxa" w:w="3456"/>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Integrated Full HD 1080p Webcam / External USB Camera (30 FPS, Autofocus)</w:t>
            </w:r>
          </w:p>
        </w:tc>
        <w:tc>
          <w:tcPr>
            <w:tcW w:type="dxa" w:w="3312"/>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Raspberry Pi Camera Module 3 (12MP Sony IMX708 with motorized autofocus, $25)</w:t>
            </w:r>
          </w:p>
        </w:tc>
      </w:tr>
      <w:tr>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Audio Output Station</w:t>
            </w:r>
          </w:p>
        </w:tc>
        <w:tc>
          <w:tcPr>
            <w:tcW w:type="dxa" w:w="3456"/>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24-bit High-Definition Stereo DAC with internal speakers and 3.5mm jack</w:t>
            </w:r>
          </w:p>
        </w:tc>
        <w:tc>
          <w:tcPr>
            <w:tcW w:type="dxa" w:w="3312"/>
            <w:shd w:fill="F8FAFC"/>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Standard 3W USB speaker / Bluetooth 5.0 wireless bone-conduction headphones</w:t>
            </w:r>
          </w:p>
        </w:tc>
      </w:tr>
      <w:tr>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b/>
                <w:sz w:val="18"/>
              </w:rPr>
              <w:t>Lighting Condition</w:t>
            </w:r>
          </w:p>
        </w:tc>
        <w:tc>
          <w:tcPr>
            <w:tcW w:type="dxa" w:w="3456"/>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Standard ambient fluorescent / LED room lighting (300 to 500 lux)</w:t>
            </w:r>
          </w:p>
        </w:tc>
        <w:tc>
          <w:tcPr>
            <w:tcW w:type="dxa" w:w="3312"/>
            <w:shd w:fill="FFFFFF"/>
            <w:tcBorders>
              <w:top w:val="single" w:sz="4" w:space="0" w:color="CBD5E1"/>
              <w:left w:val="single" w:sz="4" w:space="0" w:color="CBD5E1"/>
              <w:bottom w:val="single" w:sz="4" w:space="0" w:color="CBD5E1"/>
              <w:right w:val="single" w:sz="4" w:space="0" w:color="CBD5E1"/>
            </w:tcBorders>
            <w:tcMar>
              <w:top w:w="70" w:type="dxa"/>
              <w:bottom w:w="70" w:type="dxa"/>
              <w:left w:w="120" w:type="dxa"/>
              <w:right w:w="120" w:type="dxa"/>
            </w:tcMar>
          </w:tcPr>
          <w:p>
            <w:pPr>
              <w:spacing w:after="0" w:line="264" w:lineRule="auto"/>
              <w:jc w:val="left"/>
            </w:pPr>
            <w:r>
              <w:rPr>
                <w:rFonts w:ascii="Times New Roman" w:hAnsi="Times New Roman"/>
                <w:sz w:val="18"/>
              </w:rPr>
              <w:t>Unrestricted domestic environment; handles dim bedside lamps down to 80 lux</w:t>
            </w:r>
          </w:p>
        </w:tc>
      </w:tr>
    </w:tbl>
    <w:p>
      <w:pPr>
        <w:spacing w:after="120"/>
      </w:pPr>
    </w:p>
    <w:p>
      <w:pPr>
        <w:keepNext/>
        <w:spacing w:before="280" w:after="80"/>
      </w:pPr>
      <w:r>
        <w:rPr>
          <w:rFonts w:ascii="Times New Roman" w:hAnsi="Times New Roman"/>
          <w:b/>
          <w:color w:val="002060"/>
          <w:sz w:val="26"/>
        </w:rPr>
        <w:t>4. Screenshots of the Code (VS Code Development Environment)</w:t>
      </w:r>
    </w:p>
    <w:p>
      <w:pPr>
        <w:spacing w:after="100" w:line="276" w:lineRule="auto"/>
        <w:jc w:val="both"/>
      </w:pPr>
      <w:r>
        <w:rPr>
          <w:rFonts w:ascii="Times New Roman" w:hAnsi="Times New Roman"/>
          <w:color w:val="212529"/>
          <w:sz w:val="21"/>
        </w:rPr>
        <w:t>The following high-resolution screenshots capture the core modular Python implementation directly inside the Visual Studio Code development environment, highlighting syntax, type annotations, and mathematical logic:</w:t>
      </w:r>
    </w:p>
    <w:p>
      <w:pPr>
        <w:keepNext/>
        <w:spacing w:before="160" w:after="60"/>
        <w:jc w:val="center"/>
      </w:pPr>
      <w:r>
        <w:drawing>
          <wp:inline xmlns:a="http://schemas.openxmlformats.org/drawingml/2006/main" xmlns:pic="http://schemas.openxmlformats.org/drawingml/2006/picture">
            <wp:extent cx="5303520" cy="2814945"/>
            <wp:docPr id="1" name="Picture 1"/>
            <wp:cNvGraphicFramePr>
              <a:graphicFrameLocks noChangeAspect="1"/>
            </wp:cNvGraphicFramePr>
            <a:graphic>
              <a:graphicData uri="http://schemas.openxmlformats.org/drawingml/2006/picture">
                <pic:pic>
                  <pic:nvPicPr>
                    <pic:cNvPr id="0" name="vscode_vision_engine.png"/>
                    <pic:cNvPicPr/>
                  </pic:nvPicPr>
                  <pic:blipFill>
                    <a:blip r:embed="rId9"/>
                    <a:stretch>
                      <a:fillRect/>
                    </a:stretch>
                  </pic:blipFill>
                  <pic:spPr>
                    <a:xfrm>
                      <a:off x="0" y="0"/>
                      <a:ext cx="5303520" cy="2814945"/>
                    </a:xfrm>
                    <a:prstGeom prst="rect"/>
                  </pic:spPr>
                </pic:pic>
              </a:graphicData>
            </a:graphic>
          </wp:inline>
        </w:drawing>
      </w:r>
    </w:p>
    <w:p>
      <w:pPr>
        <w:spacing w:after="160"/>
        <w:jc w:val="center"/>
      </w:pPr>
      <w:r>
        <w:rPr>
          <w:rFonts w:ascii="Times New Roman" w:hAnsi="Times New Roman"/>
          <w:i/>
          <w:color w:val="475569"/>
          <w:sz w:val="19"/>
        </w:rPr>
        <w:t>Figure 2.1: VS Code Screenshot of 'core/vision_engine.py' showing Specular Glare Suppression, HSV Masking, and CLAHE Implementation.</w:t>
      </w:r>
    </w:p>
    <w:p>
      <w:pPr>
        <w:keepNext/>
        <w:spacing w:before="160" w:after="60"/>
        <w:jc w:val="center"/>
      </w:pPr>
      <w:r>
        <w:drawing>
          <wp:inline xmlns:a="http://schemas.openxmlformats.org/drawingml/2006/main" xmlns:pic="http://schemas.openxmlformats.org/drawingml/2006/picture">
            <wp:extent cx="5303520" cy="2937334"/>
            <wp:docPr id="2" name="Picture 2"/>
            <wp:cNvGraphicFramePr>
              <a:graphicFrameLocks noChangeAspect="1"/>
            </wp:cNvGraphicFramePr>
            <a:graphic>
              <a:graphicData uri="http://schemas.openxmlformats.org/drawingml/2006/picture">
                <pic:pic>
                  <pic:nvPicPr>
                    <pic:cNvPr id="0" name="vscode_ai_engine.png"/>
                    <pic:cNvPicPr/>
                  </pic:nvPicPr>
                  <pic:blipFill>
                    <a:blip r:embed="rId10"/>
                    <a:stretch>
                      <a:fillRect/>
                    </a:stretch>
                  </pic:blipFill>
                  <pic:spPr>
                    <a:xfrm>
                      <a:off x="0" y="0"/>
                      <a:ext cx="5303520" cy="2937334"/>
                    </a:xfrm>
                    <a:prstGeom prst="rect"/>
                  </pic:spPr>
                </pic:pic>
              </a:graphicData>
            </a:graphic>
          </wp:inline>
        </w:drawing>
      </w:r>
    </w:p>
    <w:p>
      <w:pPr>
        <w:spacing w:after="160"/>
        <w:jc w:val="center"/>
      </w:pPr>
      <w:r>
        <w:rPr>
          <w:rFonts w:ascii="Times New Roman" w:hAnsi="Times New Roman"/>
          <w:i/>
          <w:color w:val="475569"/>
          <w:sz w:val="19"/>
        </w:rPr>
        <w:t>Figure 2.2: VS Code Screenshot of 'core/ai_engine.py' showing Multimodal VLM Prompt Construction and Autonomous Failover Engine.</w:t>
      </w:r>
    </w:p>
    <w:p>
      <w:pPr>
        <w:keepNext/>
        <w:spacing w:before="160" w:after="60"/>
        <w:jc w:val="center"/>
      </w:pPr>
      <w:r>
        <w:drawing>
          <wp:inline xmlns:a="http://schemas.openxmlformats.org/drawingml/2006/main" xmlns:pic="http://schemas.openxmlformats.org/drawingml/2006/picture">
            <wp:extent cx="5303520" cy="2814945"/>
            <wp:docPr id="3" name="Picture 3"/>
            <wp:cNvGraphicFramePr>
              <a:graphicFrameLocks noChangeAspect="1"/>
            </wp:cNvGraphicFramePr>
            <a:graphic>
              <a:graphicData uri="http://schemas.openxmlformats.org/drawingml/2006/picture">
                <pic:pic>
                  <pic:nvPicPr>
                    <pic:cNvPr id="0" name="vscode_safety_guardian.png"/>
                    <pic:cNvPicPr/>
                  </pic:nvPicPr>
                  <pic:blipFill>
                    <a:blip r:embed="rId11"/>
                    <a:stretch>
                      <a:fillRect/>
                    </a:stretch>
                  </pic:blipFill>
                  <pic:spPr>
                    <a:xfrm>
                      <a:off x="0" y="0"/>
                      <a:ext cx="5303520" cy="2814945"/>
                    </a:xfrm>
                    <a:prstGeom prst="rect"/>
                  </pic:spPr>
                </pic:pic>
              </a:graphicData>
            </a:graphic>
          </wp:inline>
        </w:drawing>
      </w:r>
    </w:p>
    <w:p>
      <w:pPr>
        <w:spacing w:after="160"/>
        <w:jc w:val="center"/>
      </w:pPr>
      <w:r>
        <w:rPr>
          <w:rFonts w:ascii="Times New Roman" w:hAnsi="Times New Roman"/>
          <w:i/>
          <w:color w:val="475569"/>
          <w:sz w:val="19"/>
        </w:rPr>
        <w:t>Figure 2.3: VS Code Screenshot of 'core/safety_guardian.py' showing Deterministic Date Arithmetic and CDSCO Schedule P Resolver.</w:t>
      </w:r>
    </w:p>
    <w:p>
      <w:pPr>
        <w:keepNext/>
        <w:spacing w:before="160" w:after="60"/>
        <w:jc w:val="center"/>
      </w:pPr>
      <w:r>
        <w:drawing>
          <wp:inline xmlns:a="http://schemas.openxmlformats.org/drawingml/2006/main" xmlns:pic="http://schemas.openxmlformats.org/drawingml/2006/picture">
            <wp:extent cx="5303520" cy="2692556"/>
            <wp:docPr id="4" name="Picture 4"/>
            <wp:cNvGraphicFramePr>
              <a:graphicFrameLocks noChangeAspect="1"/>
            </wp:cNvGraphicFramePr>
            <a:graphic>
              <a:graphicData uri="http://schemas.openxmlformats.org/drawingml/2006/picture">
                <pic:pic>
                  <pic:nvPicPr>
                    <pic:cNvPr id="0" name="vscode_backend_server.png"/>
                    <pic:cNvPicPr/>
                  </pic:nvPicPr>
                  <pic:blipFill>
                    <a:blip r:embed="rId12"/>
                    <a:stretch>
                      <a:fillRect/>
                    </a:stretch>
                  </pic:blipFill>
                  <pic:spPr>
                    <a:xfrm>
                      <a:off x="0" y="0"/>
                      <a:ext cx="5303520" cy="2692556"/>
                    </a:xfrm>
                    <a:prstGeom prst="rect"/>
                  </pic:spPr>
                </pic:pic>
              </a:graphicData>
            </a:graphic>
          </wp:inline>
        </w:drawing>
      </w:r>
    </w:p>
    <w:p>
      <w:pPr>
        <w:spacing w:after="160"/>
        <w:jc w:val="center"/>
      </w:pPr>
      <w:r>
        <w:rPr>
          <w:rFonts w:ascii="Times New Roman" w:hAnsi="Times New Roman"/>
          <w:i/>
          <w:color w:val="475569"/>
          <w:sz w:val="19"/>
        </w:rPr>
        <w:t>Figure 2.4: VS Code Screenshot of 'backend_server.py' showing FastAPI Endpoints (/api/scan, /api/tts) and Asynchronous Pipeline Router.</w:t>
      </w:r>
    </w:p>
    <w:p>
      <w:pPr>
        <w:keepNext/>
        <w:spacing w:before="160" w:after="60"/>
        <w:jc w:val="center"/>
      </w:pPr>
      <w:r>
        <w:drawing>
          <wp:inline xmlns:a="http://schemas.openxmlformats.org/drawingml/2006/main" xmlns:pic="http://schemas.openxmlformats.org/drawingml/2006/picture">
            <wp:extent cx="5303520" cy="2208100"/>
            <wp:docPr id="5" name="Picture 5"/>
            <wp:cNvGraphicFramePr>
              <a:graphicFrameLocks noChangeAspect="1"/>
            </wp:cNvGraphicFramePr>
            <a:graphic>
              <a:graphicData uri="http://schemas.openxmlformats.org/drawingml/2006/picture">
                <pic:pic>
                  <pic:nvPicPr>
                    <pic:cNvPr id="0" name="terminal_execution.png"/>
                    <pic:cNvPicPr/>
                  </pic:nvPicPr>
                  <pic:blipFill>
                    <a:blip r:embed="rId13"/>
                    <a:stretch>
                      <a:fillRect/>
                    </a:stretch>
                  </pic:blipFill>
                  <pic:spPr>
                    <a:xfrm>
                      <a:off x="0" y="0"/>
                      <a:ext cx="5303520" cy="2208100"/>
                    </a:xfrm>
                    <a:prstGeom prst="rect"/>
                  </pic:spPr>
                </pic:pic>
              </a:graphicData>
            </a:graphic>
          </wp:inline>
        </w:drawing>
      </w:r>
    </w:p>
    <w:p>
      <w:pPr>
        <w:spacing w:after="160"/>
        <w:jc w:val="center"/>
      </w:pPr>
      <w:r>
        <w:rPr>
          <w:rFonts w:ascii="Times New Roman" w:hAnsi="Times New Roman"/>
          <w:i/>
          <w:color w:val="475569"/>
          <w:sz w:val="19"/>
        </w:rPr>
        <w:t>Figure 2.5: PowerShell Terminal Screenshot showing Python Backend Server Launch on Port 8080 with Active Healthcheck &amp; Diagnostic Handshake.</w:t>
      </w:r>
    </w:p>
    <w:p>
      <w:pPr>
        <w:keepNext/>
        <w:spacing w:before="280" w:after="80"/>
      </w:pPr>
      <w:r>
        <w:rPr>
          <w:rFonts w:ascii="Times New Roman" w:hAnsi="Times New Roman"/>
          <w:b/>
          <w:color w:val="002060"/>
          <w:sz w:val="26"/>
        </w:rPr>
        <w:t>5. Output &amp; Application Interface Screenshots (Real Commercial Medicines)</w:t>
      </w:r>
    </w:p>
    <w:p>
      <w:pPr>
        <w:spacing w:after="100" w:line="276" w:lineRule="auto"/>
        <w:jc w:val="both"/>
      </w:pPr>
      <w:r>
        <w:rPr>
          <w:rFonts w:ascii="Times New Roman" w:hAnsi="Times New Roman"/>
          <w:color w:val="212529"/>
          <w:sz w:val="21"/>
        </w:rPr>
        <w:t>The figures below demonstrate the live execution of the DrishtiPharma system on real commercial pharmaceutical packaging photographed during patient testing sessions:</w:t>
      </w:r>
    </w:p>
    <w:p>
      <w:pPr>
        <w:keepNext/>
        <w:spacing w:before="160" w:after="6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app_interface_dark.png"/>
                    <pic:cNvPicPr/>
                  </pic:nvPicPr>
                  <pic:blipFill>
                    <a:blip r:embed="rId14"/>
                    <a:stretch>
                      <a:fillRect/>
                    </a:stretch>
                  </pic:blipFill>
                  <pic:spPr>
                    <a:xfrm>
                      <a:off x="0" y="0"/>
                      <a:ext cx="5303520" cy="3314700"/>
                    </a:xfrm>
                    <a:prstGeom prst="rect"/>
                  </pic:spPr>
                </pic:pic>
              </a:graphicData>
            </a:graphic>
          </wp:inline>
        </w:drawing>
      </w:r>
    </w:p>
    <w:p>
      <w:pPr>
        <w:spacing w:after="160"/>
        <w:jc w:val="center"/>
      </w:pPr>
      <w:r>
        <w:rPr>
          <w:rFonts w:ascii="Times New Roman" w:hAnsi="Times New Roman"/>
          <w:i/>
          <w:color w:val="475569"/>
          <w:sz w:val="19"/>
        </w:rPr>
        <w:t>Figure 2.6: DrishtiPharma Web Interface featuring WCAG 2.2 AAA Dark Theme, Real-time Camera Viewfinder, Laser Reticle, and Audio Controls.</w:t>
      </w:r>
    </w:p>
    <w:p>
      <w:pPr>
        <w:keepNext/>
        <w:spacing w:before="160" w:after="60"/>
        <w:jc w:val="center"/>
      </w:pPr>
      <w:r>
        <w:drawing>
          <wp:inline xmlns:a="http://schemas.openxmlformats.org/drawingml/2006/main" xmlns:pic="http://schemas.openxmlformats.org/drawingml/2006/picture">
            <wp:extent cx="5303520" cy="4242816"/>
            <wp:docPr id="7" name="Picture 7"/>
            <wp:cNvGraphicFramePr>
              <a:graphicFrameLocks noChangeAspect="1"/>
            </wp:cNvGraphicFramePr>
            <a:graphic>
              <a:graphicData uri="http://schemas.openxmlformats.org/drawingml/2006/picture">
                <pic:pic>
                  <pic:nvPicPr>
                    <pic:cNvPr id="0" name="all_real_medicines_grid.png"/>
                    <pic:cNvPicPr/>
                  </pic:nvPicPr>
                  <pic:blipFill>
                    <a:blip r:embed="rId15"/>
                    <a:stretch>
                      <a:fillRect/>
                    </a:stretch>
                  </pic:blipFill>
                  <pic:spPr>
                    <a:xfrm>
                      <a:off x="0" y="0"/>
                      <a:ext cx="5303520" cy="4242816"/>
                    </a:xfrm>
                    <a:prstGeom prst="rect"/>
                  </pic:spPr>
                </pic:pic>
              </a:graphicData>
            </a:graphic>
          </wp:inline>
        </w:drawing>
      </w:r>
    </w:p>
    <w:p>
      <w:pPr>
        <w:spacing w:after="160"/>
        <w:jc w:val="center"/>
      </w:pPr>
      <w:r>
        <w:rPr>
          <w:rFonts w:ascii="Times New Roman" w:hAnsi="Times New Roman"/>
          <w:i/>
          <w:color w:val="475569"/>
          <w:sz w:val="19"/>
        </w:rPr>
        <w:t>Figure 2.7: Live Physical Medicine Strips under Test – Four real patient formulations photographed under ambient room lighting: Karvol Plus (Indoco), Cyclopam (Indoco), Zincovit (Apex), and Gelusil MPS (Pfizer).</w:t>
      </w:r>
    </w:p>
    <w:p>
      <w:pPr>
        <w:keepNext/>
        <w:spacing w:before="160" w:after="60"/>
        <w:jc w:val="center"/>
      </w:pPr>
      <w:r>
        <w:drawing>
          <wp:inline xmlns:a="http://schemas.openxmlformats.org/drawingml/2006/main" xmlns:pic="http://schemas.openxmlformats.org/drawingml/2006/picture">
            <wp:extent cx="5303520" cy="2615505"/>
            <wp:docPr id="8" name="Picture 8"/>
            <wp:cNvGraphicFramePr>
              <a:graphicFrameLocks noChangeAspect="1"/>
            </wp:cNvGraphicFramePr>
            <a:graphic>
              <a:graphicData uri="http://schemas.openxmlformats.org/drawingml/2006/picture">
                <pic:pic>
                  <pic:nvPicPr>
                    <pic:cNvPr id="0" name="app_output_karvol_scanned.png"/>
                    <pic:cNvPicPr/>
                  </pic:nvPicPr>
                  <pic:blipFill>
                    <a:blip r:embed="rId16"/>
                    <a:stretch>
                      <a:fillRect/>
                    </a:stretch>
                  </pic:blipFill>
                  <pic:spPr>
                    <a:xfrm>
                      <a:off x="0" y="0"/>
                      <a:ext cx="5303520" cy="2615505"/>
                    </a:xfrm>
                    <a:prstGeom prst="rect"/>
                  </pic:spPr>
                </pic:pic>
              </a:graphicData>
            </a:graphic>
          </wp:inline>
        </w:drawing>
      </w:r>
    </w:p>
    <w:p>
      <w:pPr>
        <w:spacing w:after="160"/>
        <w:jc w:val="center"/>
      </w:pPr>
      <w:r>
        <w:rPr>
          <w:rFonts w:ascii="Times New Roman" w:hAnsi="Times New Roman"/>
          <w:i/>
          <w:color w:val="475569"/>
          <w:sz w:val="19"/>
        </w:rPr>
        <w:t>Figure 2.8: Scanned Clinical Output – Live recognition of real Karvol Plus blister pack displaying active ingredients, expired status alert, and Hindi spoken announcement.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