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3600"/>
        <w:jc w:val="center"/>
      </w:pPr>
      <w:r>
        <w:rPr>
          <w:rFonts w:ascii="Times New Roman" w:cs="Times New Roman" w:eastAsia="Times New Roman" w:hAnsi="Times New Roman"/>
          <w:b/>
          <w:bCs/>
          <w:sz w:val="44"/>
          <w:szCs w:val="44"/>
        </w:rPr>
        <w:t xml:space="preserve">CDR-Based Cognitive Impairment Classification Using the OASIS-1 Dataset</w:t>
      </w:r>
    </w:p>
    <w:p>
      <w:pPr>
        <w:jc w:val="center"/>
      </w:pPr>
      <w:r>
        <w:rPr>
          <w:rFonts w:ascii="Times New Roman" w:cs="Times New Roman" w:eastAsia="Times New Roman" w:hAnsi="Times New Roman"/>
          <w:sz w:val="32"/>
          <w:szCs w:val="32"/>
        </w:rPr>
        <w:t xml:space="preserve">Anshu Yadav</w:t>
      </w:r>
    </w:p>
    <w:p>
      <w:pPr>
        <w:sectPr>
          <w:pgSz w:w="11906" w:h="16838" w:orient="portrait"/>
          <w:pgMar w:top="1440" w:right="1440" w:bottom="1440" w:left="1440" w:header="708" w:footer="708" w:gutter="0"/>
          <w:pgNumType/>
          <w:docGrid w:linePitch="360"/>
        </w:sectPr>
      </w:pPr>
    </w:p>
    <w:p>
      <w:pPr>
        <w:spacing w:after="120" w:line="360"/>
        <w:jc w:val="both"/>
      </w:pPr>
      <w:r>
        <w:rPr>
          <w:rFonts w:ascii="Times New Roman" w:cs="Times New Roman" w:eastAsia="Times New Roman" w:hAnsi="Times New Roman"/>
          <w:sz w:val="24"/>
          <w:szCs w:val="24"/>
        </w:rPr>
        <w:t xml:space="preserve">A statistical machine learning project that classifies whether a subject's Clinical Dementia Rating (CDR) is zero or positive, using demographic, cognitive (MMSE) and structural-MRI measures from the OASIS-1 cross-sectional dataset. Three models are compared: logistic regression, random forest and XGBoost.</w:t>
      </w:r>
    </w:p>
    <w:p>
      <w:pPr>
        <w:pBdr>
          <w:left w:val="single" w:color="7A8CA5" w:sz="18" w:space="8"/>
        </w:pBdr>
        <w:spacing w:after="160" w:line="360"/>
        <w:ind w:left="240"/>
      </w:pPr>
      <w:r>
        <w:rPr>
          <w:rFonts w:ascii="Times New Roman" w:cs="Times New Roman" w:eastAsia="Times New Roman" w:hAnsi="Times New Roman"/>
          <w:b/>
          <w:bCs/>
          <w:i/>
          <w:iCs/>
          <w:sz w:val="24"/>
          <w:szCs w:val="24"/>
        </w:rPr>
        <w:t xml:space="preserve">Scope.</w:t>
      </w:r>
      <w:r>
        <w:rPr>
          <w:rFonts w:ascii="Times New Roman" w:cs="Times New Roman" w:eastAsia="Times New Roman" w:hAnsi="Times New Roman"/>
          <w:i/>
          <w:iCs/>
          <w:sz w:val="24"/>
          <w:szCs w:val="24"/>
        </w:rPr>
        <w:t xml:space="preserve"> The target is a label derived from CDR (CDR = 0 vs CDR &gt; 0). This is a classification study, not a diagnostic tool, and it does not establish that anyone has Alzheimer's disease.</w:t>
      </w:r>
    </w:p>
    <w:p>
      <w:pPr>
        <w:pStyle w:val="Heading1"/>
      </w:pPr>
      <w:r>
        <w:rPr>
          <w:rFonts w:ascii="Times New Roman" w:cs="Times New Roman" w:eastAsia="Times New Roman" w:hAnsi="Times New Roman"/>
        </w:rPr>
        <w:t xml:space="preserve">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5"/>
        <w:gridCol w:w="1570"/>
        <w:gridCol w:w="2093"/>
        <w:gridCol w:w="2878"/>
      </w:tblGrid>
      <w:tr>
        <w:trPr>
          <w:cantSplit/>
          <w:tblHeader/>
        </w:trPr>
        <w:tc>
          <w:tcPr>
            <w:tcW w:type="dxa" w:w="2485"/>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Model</w:t>
            </w:r>
          </w:p>
        </w:tc>
        <w:tc>
          <w:tcPr>
            <w:tcW w:type="dxa" w:w="1570"/>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Test ROC-AUC</w:t>
            </w:r>
          </w:p>
        </w:tc>
        <w:tc>
          <w:tcPr>
            <w:tcW w:type="dxa" w:w="209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95% bootstrap CI</w:t>
            </w:r>
          </w:p>
        </w:tc>
        <w:tc>
          <w:tcPr>
            <w:tcW w:type="dxa" w:w="2878"/>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5-fold CV ROC-AUC (SD)</w:t>
            </w:r>
          </w:p>
        </w:tc>
      </w:tr>
      <w:tr>
        <w:trPr>
          <w:cantSplit/>
          <w:tblHeader w:val="off"/>
        </w:trPr>
        <w:tc>
          <w:tcPr>
            <w:tcW w:type="dxa" w:w="248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57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0.906</w:t>
            </w:r>
          </w:p>
        </w:tc>
        <w:tc>
          <w:tcPr>
            <w:tcW w:type="dxa" w:w="209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0.808 – 0.973</w:t>
            </w:r>
          </w:p>
        </w:tc>
        <w:tc>
          <w:tcPr>
            <w:tcW w:type="dxa" w:w="287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0.903 (0.035)</w:t>
            </w:r>
          </w:p>
        </w:tc>
      </w:tr>
      <w:tr>
        <w:trPr>
          <w:cantSplit/>
          <w:tblHeader w:val="off"/>
        </w:trPr>
        <w:tc>
          <w:tcPr>
            <w:tcW w:type="dxa" w:w="248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Random forest</w:t>
            </w:r>
          </w:p>
        </w:tc>
        <w:tc>
          <w:tcPr>
            <w:tcW w:type="dxa" w:w="157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0.930</w:t>
            </w:r>
          </w:p>
        </w:tc>
        <w:tc>
          <w:tcPr>
            <w:tcW w:type="dxa" w:w="209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0.849 – 0.983</w:t>
            </w:r>
          </w:p>
        </w:tc>
        <w:tc>
          <w:tcPr>
            <w:tcW w:type="dxa" w:w="287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0.906 (0.034)</w:t>
            </w:r>
          </w:p>
        </w:tc>
      </w:tr>
      <w:tr>
        <w:trPr>
          <w:cantSplit/>
          <w:tblHeader w:val="off"/>
        </w:trPr>
        <w:tc>
          <w:tcPr>
            <w:tcW w:type="dxa" w:w="248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XGBoost</w:t>
            </w:r>
          </w:p>
        </w:tc>
        <w:tc>
          <w:tcPr>
            <w:tcW w:type="dxa" w:w="157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0.933</w:t>
            </w:r>
          </w:p>
        </w:tc>
        <w:tc>
          <w:tcPr>
            <w:tcW w:type="dxa" w:w="209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0.855 – 0.985</w:t>
            </w:r>
          </w:p>
        </w:tc>
        <w:tc>
          <w:tcPr>
            <w:tcW w:type="dxa" w:w="287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0.907 (0.030)</w:t>
            </w:r>
          </w:p>
        </w:tc>
      </w:tr>
    </w:tbl>
    <w:p>
      <w:pPr>
        <w:spacing w:after="160"/>
      </w:pPr>
    </w:p>
    <w:p>
      <w:pPr>
        <w:pStyle w:val="ListParagraph"/>
        <w:numPr>
          <w:ilvl w:val="0"/>
          <w:numId w:val="2"/>
        </w:numPr>
        <w:spacing w:after="60" w:line="360"/>
      </w:pPr>
      <w:r>
        <w:rPr>
          <w:rFonts w:ascii="Times New Roman" w:cs="Times New Roman" w:eastAsia="Times New Roman" w:hAnsi="Times New Roman"/>
          <w:sz w:val="24"/>
          <w:szCs w:val="24"/>
        </w:rPr>
        <w:t xml:space="preserve">The three models are statistically indistinguishable at this sample size: the bootstrap intervals overlap almost entirely and CV AUCs differ by 0.004.</w:t>
      </w:r>
    </w:p>
    <w:p>
      <w:pPr>
        <w:pStyle w:val="ListParagraph"/>
        <w:numPr>
          <w:ilvl w:val="0"/>
          <w:numId w:val="2"/>
        </w:numPr>
        <w:spacing w:after="60" w:line="360"/>
      </w:pPr>
      <w:r>
        <w:rPr>
          <w:rFonts w:ascii="Times New Roman" w:cs="Times New Roman" w:eastAsia="Times New Roman" w:hAnsi="Times New Roman"/>
          <w:sz w:val="24"/>
          <w:szCs w:val="24"/>
        </w:rPr>
        <w:t xml:space="preserve">MMSE is the dominant predictor in both tree models (39% and 44% of importance), followed by normalised whole-brain volume (nWBV) and age.</w:t>
      </w:r>
    </w:p>
    <w:p>
      <w:pPr>
        <w:pStyle w:val="ListParagraph"/>
        <w:numPr>
          <w:ilvl w:val="0"/>
          <w:numId w:val="2"/>
        </w:numPr>
        <w:spacing w:after="60" w:line="360"/>
      </w:pPr>
      <w:r>
        <w:rPr>
          <w:rFonts w:ascii="Times New Roman" w:cs="Times New Roman" w:eastAsia="Times New Roman" w:hAnsi="Times New Roman"/>
          <w:sz w:val="24"/>
          <w:szCs w:val="24"/>
        </w:rPr>
        <w:t xml:space="preserve">The test set has only 47 subjects, so every test metric is coarse.</w:t>
      </w:r>
    </w:p>
    <w:p>
      <w:pPr>
        <w:pStyle w:val="Heading1"/>
      </w:pPr>
      <w:r>
        <w:rPr>
          <w:rFonts w:ascii="Times New Roman" w:cs="Times New Roman" w:eastAsia="Times New Roman" w:hAnsi="Times New Roman"/>
        </w:rPr>
        <w:t xml:space="preserve">1. Dataset and audit</w:t>
      </w:r>
    </w:p>
    <w:p>
      <w:pPr>
        <w:spacing w:after="120" w:line="360"/>
        <w:jc w:val="both"/>
      </w:pPr>
      <w:r>
        <w:rPr>
          <w:rFonts w:ascii="Times New Roman" w:cs="Times New Roman" w:eastAsia="Times New Roman" w:hAnsi="Times New Roman"/>
          <w:sz w:val="24"/>
          <w:szCs w:val="24"/>
        </w:rPr>
        <w:t xml:space="preserve">The spreadsheet has 436 rows and 12 columns (ID, M/F, Hand, Age, Educ, SES, MMSE, CDR, eTIV, nWBV, ASF, Delay) from 416 unique subjects; 20 subjects have a second scan. There are no duplicate rows. All subjects are right-handed, and Delay is recorded for only 20 rows.</w:t>
      </w:r>
    </w:p>
    <w:p>
      <w:pPr>
        <w:spacing w:after="120" w:line="360"/>
        <w:jc w:val="both"/>
      </w:pPr>
      <w:r>
        <w:rPr>
          <w:rFonts w:ascii="Times New Roman" w:cs="Times New Roman" w:eastAsia="Times New Roman" w:hAnsi="Times New Roman"/>
          <w:b/>
          <w:bCs/>
          <w:sz w:val="24"/>
          <w:szCs w:val="24"/>
        </w:rPr>
        <w:t xml:space="preserve">CDR is missing for 201 rows (46.1%), and not at random.</w:t>
      </w:r>
      <w:r>
        <w:rPr>
          <w:rFonts w:ascii="Times New Roman" w:cs="Times New Roman" w:eastAsia="Times New Roman" w:hAnsi="Times New Roman"/>
          <w:sz w:val="24"/>
          <w:szCs w:val="24"/>
        </w:rPr>
        <w:t xml:space="preserve"> Rows with a CDR have a mean age of 72.3 (range 33–96); rows without have a mean age of 26.8 (range 18–58). The unlabeled rows are essentially the young adults, so the conclusions here apply to middle-aged and older adults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4333"/>
      </w:tblGrid>
      <w:tr>
        <w:trPr>
          <w:cantSplit/>
          <w:tblHeader/>
        </w:trPr>
        <w:tc>
          <w:tcPr>
            <w:tcW w:type="dxa" w:w="2527"/>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CDR</w:t>
            </w:r>
          </w:p>
        </w:tc>
        <w:tc>
          <w:tcPr>
            <w:tcW w:type="dxa" w:w="216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Rows</w:t>
            </w:r>
          </w:p>
        </w:tc>
        <w:tc>
          <w:tcPr>
            <w:tcW w:type="dxa" w:w="433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Share of 436</w:t>
            </w:r>
          </w:p>
        </w:tc>
      </w:tr>
      <w:tr>
        <w:trPr>
          <w:cantSplit/>
          <w:tblHeader w:val="off"/>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135</w:t>
            </w:r>
          </w:p>
        </w:tc>
        <w:tc>
          <w:tcPr>
            <w:tcW w:type="dxa" w:w="43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31.0%</w:t>
            </w:r>
          </w:p>
        </w:tc>
      </w:tr>
      <w:tr>
        <w:trPr>
          <w:cantSplit/>
          <w:tblHeader w:val="off"/>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0.5</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70</w:t>
            </w:r>
          </w:p>
        </w:tc>
        <w:tc>
          <w:tcPr>
            <w:tcW w:type="dxa" w:w="43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16.1%</w:t>
            </w:r>
          </w:p>
        </w:tc>
      </w:tr>
      <w:tr>
        <w:trPr>
          <w:cantSplit/>
          <w:tblHeader w:val="off"/>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28</w:t>
            </w:r>
          </w:p>
        </w:tc>
        <w:tc>
          <w:tcPr>
            <w:tcW w:type="dxa" w:w="43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6.4%</w:t>
            </w:r>
          </w:p>
        </w:tc>
      </w:tr>
      <w:tr>
        <w:trPr>
          <w:cantSplit/>
          <w:tblHeader w:val="off"/>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w:t>
            </w:r>
          </w:p>
        </w:tc>
        <w:tc>
          <w:tcPr>
            <w:tcW w:type="dxa" w:w="43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0.5%</w:t>
            </w:r>
          </w:p>
        </w:tc>
      </w:tr>
      <w:tr>
        <w:trPr>
          <w:cantSplit/>
          <w:tblHeader w:val="off"/>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Missing</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201</w:t>
            </w:r>
          </w:p>
        </w:tc>
        <w:tc>
          <w:tcPr>
            <w:tcW w:type="dxa" w:w="433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46.1%</w:t>
            </w:r>
          </w:p>
        </w:tc>
      </w:tr>
    </w:tbl>
    <w:p>
      <w:pPr>
        <w:spacing w:after="160"/>
      </w:pPr>
    </w:p>
    <w:p>
      <w:pPr>
        <w:spacing w:after="120" w:line="360"/>
        <w:jc w:val="both"/>
      </w:pPr>
      <w:r>
        <w:rPr>
          <w:rFonts w:ascii="Times New Roman" w:cs="Times New Roman" w:eastAsia="Times New Roman" w:hAnsi="Times New Roman"/>
          <w:sz w:val="24"/>
          <w:szCs w:val="24"/>
        </w:rPr>
        <w:t xml:space="preserve">Among the 235 labeled rows, Educ, MMSE, eTIV, nWBV and ASF are complete and SES is missing for 19 (8.1%). SES missingness is concentrated in the impaired group (17.0% vs 1.5%), so median imputation is a simplification. All 235 labeled rows belong to distinct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cantSplit/>
          <w:tblHeader/>
        </w:trPr>
        <w:tc>
          <w:tcPr>
            <w:tcW w:type="dxa" w:w="1504"/>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Variable</w:t>
            </w:r>
          </w:p>
        </w:tc>
        <w:tc>
          <w:tcPr>
            <w:tcW w:type="dxa" w:w="7522"/>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Meaning</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M/F</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Sex (F = 0, M = 1 in the models)</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Age</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Age in years</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Educ</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Education level, coded 1–5</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SES</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Socioeconomic status, coded 1–5</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MMSE</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Mini-Mental State Examination score (0–30)</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eTIV</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Estimated total intracranial volume</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nWBV</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Normalised whole-brain volume</w:t>
            </w:r>
          </w:p>
        </w:tc>
      </w:tr>
      <w:tr>
        <w:trPr>
          <w:cantSplit/>
          <w:tblHeader w:val="off"/>
        </w:trPr>
        <w:tc>
          <w:tcPr>
            <w:tcW w:type="dxa" w:w="150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ASF</w:t>
            </w:r>
          </w:p>
        </w:tc>
        <w:tc>
          <w:tcPr>
            <w:tcW w:type="dxa" w:w="752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Atlas scaling factor (inversely related to head size)</w:t>
            </w:r>
          </w:p>
        </w:tc>
      </w:tr>
    </w:tbl>
    <w:p>
      <w:pPr>
        <w:spacing w:after="160"/>
      </w:pPr>
    </w:p>
    <w:p>
      <w:pPr>
        <w:pStyle w:val="Heading1"/>
      </w:pPr>
      <w:r>
        <w:rPr>
          <w:rFonts w:ascii="Times New Roman" w:cs="Times New Roman" w:eastAsia="Times New Roman" w:hAnsi="Times New Roman"/>
        </w:rPr>
        <w:t xml:space="preserve">2. Methodology</w:t>
      </w:r>
    </w:p>
    <w:p>
      <w:pPr>
        <w:spacing w:after="120" w:line="360"/>
        <w:jc w:val="both"/>
      </w:pPr>
      <w:r>
        <w:rPr>
          <w:rFonts w:ascii="Times New Roman" w:cs="Times New Roman" w:eastAsia="Times New Roman" w:hAnsi="Times New Roman"/>
          <w:b/>
          <w:bCs/>
          <w:sz w:val="24"/>
          <w:szCs w:val="24"/>
        </w:rPr>
        <w:t xml:space="preserve">Target.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Dementia = 1</w:t>
      </w:r>
      <w:r>
        <w:rPr>
          <w:rFonts w:ascii="Times New Roman" w:cs="Times New Roman" w:eastAsia="Times New Roman" w:hAnsi="Times New Roman"/>
          <w:sz w:val="24"/>
          <w:szCs w:val="24"/>
        </w:rPr>
        <w:t xml:space="preserve"> if CDR &gt; 0, else 0, on the 235 labeled rows: 135 negatives (57.45%) and 100 positives (42.55%). The two CDR = 2 cases are pooled with the positive class.</w:t>
      </w:r>
    </w:p>
    <w:p>
      <w:pPr>
        <w:keepNext/>
        <w:spacing w:after="60" w:before="120"/>
        <w:jc w:val="center"/>
      </w:pPr>
      <w:r>
        <w:drawing>
          <wp:inline distT="0" distB="0" distL="0" distR="0">
            <wp:extent cx="3238500" cy="2299804"/>
            <wp:effectExtent t="0" r="0" b="0" l="0"/>
            <wp:docPr id="1" name="figures/01_class_distribution.png" descr="Class distribution"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29980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Class distribution</w:t>
      </w:r>
    </w:p>
    <w:p>
      <w:pPr>
        <w:spacing w:after="120" w:line="360"/>
        <w:jc w:val="both"/>
      </w:pPr>
      <w:r>
        <w:rPr>
          <w:rFonts w:ascii="Times New Roman" w:cs="Times New Roman" w:eastAsia="Times New Roman" w:hAnsi="Times New Roman"/>
          <w:b/>
          <w:bCs/>
          <w:sz w:val="24"/>
          <w:szCs w:val="24"/>
        </w:rPr>
        <w:t xml:space="preserve">Predictors and leakage control.</w:t>
      </w:r>
      <w:r>
        <w:rPr>
          <w:rFonts w:ascii="Times New Roman" w:cs="Times New Roman" w:eastAsia="Times New Roman" w:hAnsi="Times New Roman"/>
          <w:sz w:val="24"/>
          <w:szCs w:val="24"/>
        </w:rPr>
        <w:t xml:space="preserve"> Eight predictors: M/F, Age, Educ, SES, MMSE, eTIV, nWBV, ASF. Excluded: CDR (defines the target), ID and Subject_ID (identifiers), Hand (constant), Delay (missing for every labeled row).</w:t>
      </w:r>
    </w:p>
    <w:p>
      <w:pPr>
        <w:spacing w:after="120" w:line="360"/>
        <w:jc w:val="both"/>
      </w:pPr>
      <w:r>
        <w:rPr>
          <w:rFonts w:ascii="Times New Roman" w:cs="Times New Roman" w:eastAsia="Times New Roman" w:hAnsi="Times New Roman"/>
          <w:b/>
          <w:bCs/>
          <w:sz w:val="24"/>
          <w:szCs w:val="24"/>
        </w:rPr>
        <w:t xml:space="preserve">Subject-level split.</w:t>
      </w:r>
      <w:r>
        <w:rPr>
          <w:rFonts w:ascii="Times New Roman" w:cs="Times New Roman" w:eastAsia="Times New Roman" w:hAnsi="Times New Roman"/>
          <w:sz w:val="24"/>
          <w:szCs w:val="24"/>
        </w:rPr>
        <w:t xml:space="preserve"> An 80/20 split stratified on the outcome (</w:t>
      </w:r>
      <w:r>
        <w:rPr>
          <w:rFonts w:ascii="Courier New" w:cs="Courier New" w:eastAsia="Courier New" w:hAnsi="Courier New"/>
          <w:sz w:val="21"/>
          <w:szCs w:val="21"/>
        </w:rPr>
        <w:t xml:space="preserve">random_state = 42</w:t>
      </w:r>
      <w:r>
        <w:rPr>
          <w:rFonts w:ascii="Times New Roman" w:cs="Times New Roman" w:eastAsia="Times New Roman" w:hAnsi="Times New Roman"/>
          <w:sz w:val="24"/>
          <w:szCs w:val="24"/>
        </w:rPr>
        <w:t xml:space="preserve">) was made on unique subjects: 188 train (108 / 80) and 47 test (27 / 20), with zero subject overlap verified in code.</w:t>
      </w:r>
    </w:p>
    <w:p>
      <w:pPr>
        <w:spacing w:after="120" w:line="360"/>
        <w:jc w:val="both"/>
      </w:pPr>
      <w:r>
        <w:rPr>
          <w:rFonts w:ascii="Times New Roman" w:cs="Times New Roman" w:eastAsia="Times New Roman" w:hAnsi="Times New Roman"/>
          <w:b/>
          <w:bCs/>
          <w:sz w:val="24"/>
          <w:szCs w:val="24"/>
        </w:rPr>
        <w:t xml:space="preserve">Preprocessing.</w:t>
      </w:r>
      <w:r>
        <w:rPr>
          <w:rFonts w:ascii="Times New Roman" w:cs="Times New Roman" w:eastAsia="Times New Roman" w:hAnsi="Times New Roman"/>
          <w:sz w:val="24"/>
          <w:szCs w:val="24"/>
        </w:rPr>
        <w:t xml:space="preserve"> SES is median-imputed inside each model pipeline (fitted on training data only). Logistic regression also standardises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7"/>
        <w:gridCol w:w="6119"/>
      </w:tblGrid>
      <w:tr>
        <w:trPr>
          <w:cantSplit/>
          <w:tblHeader/>
        </w:trPr>
        <w:tc>
          <w:tcPr>
            <w:tcW w:type="dxa" w:w="2907"/>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Model</w:t>
            </w:r>
          </w:p>
        </w:tc>
        <w:tc>
          <w:tcPr>
            <w:tcW w:type="dxa" w:w="6119"/>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Configuration</w:t>
            </w:r>
          </w:p>
        </w:tc>
      </w:tr>
      <w:tr>
        <w:trPr>
          <w:cantSplit/>
          <w:tblHeader w:val="off"/>
        </w:trPr>
        <w:tc>
          <w:tcPr>
            <w:tcW w:type="dxa" w:w="29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611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Median imputation, standard scaling, </w:t>
            </w:r>
            <w:r>
              <w:rPr>
                <w:rFonts w:ascii="Courier New" w:cs="Courier New" w:eastAsia="Courier New" w:hAnsi="Courier New"/>
                <w:b w:val="false"/>
                <w:bCs w:val="false"/>
                <w:sz w:val="21"/>
                <w:szCs w:val="21"/>
              </w:rPr>
              <w:t xml:space="preserve">max_iter=1000</w:t>
            </w:r>
          </w:p>
        </w:tc>
      </w:tr>
      <w:tr>
        <w:trPr>
          <w:cantSplit/>
          <w:tblHeader w:val="off"/>
        </w:trPr>
        <w:tc>
          <w:tcPr>
            <w:tcW w:type="dxa" w:w="29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Random forest</w:t>
            </w:r>
          </w:p>
        </w:tc>
        <w:tc>
          <w:tcPr>
            <w:tcW w:type="dxa" w:w="611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500 trees, </w:t>
            </w:r>
            <w:r>
              <w:rPr>
                <w:rFonts w:ascii="Courier New" w:cs="Courier New" w:eastAsia="Courier New" w:hAnsi="Courier New"/>
                <w:b w:val="false"/>
                <w:bCs w:val="false"/>
                <w:sz w:val="21"/>
                <w:szCs w:val="21"/>
              </w:rPr>
              <w:t xml:space="preserve">min_samples_split=5</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min_samples_leaf=2</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class_weight="balanced"</w:t>
            </w:r>
          </w:p>
        </w:tc>
      </w:tr>
      <w:tr>
        <w:trPr>
          <w:cantSplit/>
          <w:tblHeader w:val="off"/>
        </w:trPr>
        <w:tc>
          <w:tcPr>
            <w:tcW w:type="dxa" w:w="29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XGBoost</w:t>
            </w:r>
          </w:p>
        </w:tc>
        <w:tc>
          <w:tcPr>
            <w:tcW w:type="dxa" w:w="611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300 trees, </w:t>
            </w:r>
            <w:r>
              <w:rPr>
                <w:rFonts w:ascii="Courier New" w:cs="Courier New" w:eastAsia="Courier New" w:hAnsi="Courier New"/>
                <w:b w:val="false"/>
                <w:bCs w:val="false"/>
                <w:sz w:val="21"/>
                <w:szCs w:val="21"/>
              </w:rPr>
              <w:t xml:space="preserve">max_depth=3</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learning_rate=0.03</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min_child_weight=3</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subsample=0.8</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colsample_bytree=0.8</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reg_alpha=0.1</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21"/>
                <w:szCs w:val="21"/>
              </w:rPr>
              <w:t xml:space="preserve">reg_lambda=1.0</w:t>
            </w:r>
          </w:p>
        </w:tc>
      </w:tr>
    </w:tbl>
    <w:p>
      <w:pPr>
        <w:spacing w:after="160"/>
      </w:pPr>
    </w:p>
    <w:p>
      <w:pPr>
        <w:spacing w:after="12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Test metrics at the default 0.5 threshold; stratified 5-fold CV (shuffled, seed 42, imputation inside each fold) on all 235 labeled rows; and a 5,000-resample percentile bootstrap of the test set for ROC-AUC (rows resampled, which is valid here because the test subjects are distinct).</w:t>
      </w:r>
    </w:p>
    <w:p>
      <w:pPr>
        <w:pStyle w:val="Heading1"/>
      </w:pPr>
      <w:r>
        <w:rPr>
          <w:rFonts w:ascii="Times New Roman" w:cs="Times New Roman" w:eastAsia="Times New Roman" w:hAnsi="Times New Roman"/>
        </w:rPr>
        <w:t xml:space="preserve">3. Exploratory analysis</w:t>
      </w:r>
    </w:p>
    <w:p>
      <w:pPr>
        <w:spacing w:after="120" w:line="360"/>
        <w:jc w:val="both"/>
      </w:pPr>
      <w:r>
        <w:rPr>
          <w:rFonts w:ascii="Times New Roman" w:cs="Times New Roman" w:eastAsia="Times New Roman" w:hAnsi="Times New Roman"/>
          <w:sz w:val="24"/>
          <w:szCs w:val="24"/>
        </w:rPr>
        <w:t xml:space="preserve">Groups were compared with two-sided Mann–Whitney U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9"/>
        <w:gridCol w:w="3069"/>
        <w:gridCol w:w="1444"/>
      </w:tblGrid>
      <w:tr>
        <w:trPr>
          <w:cantSplit/>
          <w:tblHeader/>
        </w:trPr>
        <w:tc>
          <w:tcPr>
            <w:tcW w:type="dxa" w:w="1444"/>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Variable</w:t>
            </w:r>
          </w:p>
        </w:tc>
        <w:tc>
          <w:tcPr>
            <w:tcW w:type="dxa" w:w="3069"/>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CDR = 0 mean (SD)</w:t>
            </w:r>
          </w:p>
        </w:tc>
        <w:tc>
          <w:tcPr>
            <w:tcW w:type="dxa" w:w="3069"/>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CDR &gt; 0 mean (SD)</w:t>
            </w:r>
          </w:p>
        </w:tc>
        <w:tc>
          <w:tcPr>
            <w:tcW w:type="dxa" w:w="1444"/>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p-value</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Age</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69.07 (13.88)</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76.76 (7.12)</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Educ</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3.44 (1.26)</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2.82 (1.30)</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0.0003</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SES</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2.33 (1.06)</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2.75 (1.17)</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0.0094</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MMSE</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29.10 (1.13)</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24.32 (4.17)</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eTIV</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1441.5 (152.4)</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1483.8 (168.3)</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0.0518</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nWBV</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0.769 (0.046)</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0.722 (0.036)</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ASF</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1.231 (0.127)</w:t>
            </w:r>
          </w:p>
        </w:tc>
        <w:tc>
          <w:tcPr>
            <w:tcW w:type="dxa" w:w="306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1.197 (0.131)</w:t>
            </w:r>
          </w:p>
        </w:tc>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0.0516</w:t>
            </w:r>
          </w:p>
        </w:tc>
      </w:tr>
    </w:tbl>
    <w:p>
      <w:pPr>
        <w:spacing w:after="160"/>
      </w:pPr>
    </w:p>
    <w:p>
      <w:pPr>
        <w:spacing w:after="120" w:line="360"/>
        <w:jc w:val="both"/>
      </w:pPr>
      <w:r>
        <w:rPr>
          <w:rFonts w:ascii="Times New Roman" w:cs="Times New Roman" w:eastAsia="Times New Roman" w:hAnsi="Times New Roman"/>
          <w:sz w:val="24"/>
          <w:szCs w:val="24"/>
        </w:rPr>
        <w:t xml:space="preserve">By sex, 59 of 156 women (37.8%) and 41 of 79 men (51.9%) have CDR &gt; 0. Differences are associations in a convenience sample, not causal effects.</w:t>
      </w:r>
    </w:p>
    <w:p>
      <w:pPr>
        <w:keepNext/>
        <w:spacing w:after="60" w:before="120"/>
        <w:jc w:val="center"/>
      </w:pPr>
      <w:r>
        <w:drawing>
          <wp:inline distT="0" distB="0" distL="0" distR="0">
            <wp:extent cx="3238500" cy="2299804"/>
            <wp:effectExtent t="0" r="0" b="0" l="0"/>
            <wp:docPr id="2" name="figures/03_mmse_by_status.png" descr="MMSE by status" title="MMSE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29980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MMSE by status</w:t>
      </w:r>
    </w:p>
    <w:p>
      <w:pPr>
        <w:keepNext/>
        <w:spacing w:after="60" w:before="120"/>
        <w:jc w:val="center"/>
      </w:pPr>
      <w:r>
        <w:drawing>
          <wp:inline distT="0" distB="0" distL="0" distR="0">
            <wp:extent cx="3238500" cy="2299804"/>
            <wp:effectExtent t="0" r="0" b="0" l="0"/>
            <wp:docPr id="3" name="figures/04_nwbv_by_status.png" descr="nWBV by status" title="nWBV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9980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nWBV by status</w:t>
      </w:r>
    </w:p>
    <w:p>
      <w:pPr>
        <w:keepNext/>
        <w:spacing w:after="60" w:before="120"/>
        <w:jc w:val="center"/>
      </w:pPr>
      <w:r>
        <w:drawing>
          <wp:inline distT="0" distB="0" distL="0" distR="0">
            <wp:extent cx="3238500" cy="2299804"/>
            <wp:effectExtent t="0" r="0" b="0" l="0"/>
            <wp:docPr id="4" name="figures/02_age_by_status.png" descr="Age by status" title="Age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29980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Age by status</w:t>
      </w:r>
    </w:p>
    <w:p>
      <w:pPr>
        <w:spacing w:after="120" w:line="360"/>
        <w:jc w:val="both"/>
      </w:pPr>
      <w:r>
        <w:rPr>
          <w:rFonts w:ascii="Times New Roman" w:cs="Times New Roman" w:eastAsia="Times New Roman" w:hAnsi="Times New Roman"/>
          <w:sz w:val="24"/>
          <w:szCs w:val="24"/>
        </w:rPr>
        <w:t xml:space="preserve">eTIV and ASF are almost perfectly negatively correlated (r ≈ −0.99), which makes their individual model coefficients unstable.</w:t>
      </w:r>
    </w:p>
    <w:p>
      <w:pPr>
        <w:keepNext/>
        <w:spacing w:after="60" w:before="120"/>
        <w:jc w:val="center"/>
      </w:pPr>
      <w:r>
        <w:drawing>
          <wp:inline distT="0" distB="0" distL="0" distR="0">
            <wp:extent cx="3238500" cy="2733349"/>
            <wp:effectExtent t="0" r="0" b="0" l="0"/>
            <wp:docPr id="5" name="figures/05_predictor_correlation.png" descr="Predictor correlation" title="Predictor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733349"/>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Predictor correlation</w:t>
      </w:r>
    </w:p>
    <w:p>
      <w:pPr>
        <w:pStyle w:val="Heading1"/>
      </w:pPr>
      <w:r>
        <w:rPr>
          <w:rFonts w:ascii="Times New Roman" w:cs="Times New Roman" w:eastAsia="Times New Roman" w:hAnsi="Times New Roman"/>
        </w:rPr>
        <w:t xml:space="preserve">4. Results</w:t>
      </w:r>
    </w:p>
    <w:p>
      <w:pPr>
        <w:pStyle w:val="Heading2"/>
      </w:pPr>
      <w:r>
        <w:rPr>
          <w:rFonts w:ascii="Times New Roman" w:cs="Times New Roman" w:eastAsia="Times New Roman" w:hAnsi="Times New Roman"/>
        </w:rPr>
        <w:t xml:space="preserve">4.1 Test-set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8"/>
        <w:gridCol w:w="1203"/>
        <w:gridCol w:w="1354"/>
        <w:gridCol w:w="1655"/>
        <w:gridCol w:w="903"/>
        <w:gridCol w:w="1053"/>
      </w:tblGrid>
      <w:tr>
        <w:trPr>
          <w:cantSplit/>
          <w:tblHeader/>
        </w:trPr>
        <w:tc>
          <w:tcPr>
            <w:tcW w:type="dxa" w:w="2858"/>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Model</w:t>
            </w:r>
          </w:p>
        </w:tc>
        <w:tc>
          <w:tcPr>
            <w:tcW w:type="dxa" w:w="120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Accuracy</w:t>
            </w:r>
          </w:p>
        </w:tc>
        <w:tc>
          <w:tcPr>
            <w:tcW w:type="dxa" w:w="1354"/>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Precision</w:t>
            </w:r>
          </w:p>
        </w:tc>
        <w:tc>
          <w:tcPr>
            <w:tcW w:type="dxa" w:w="1655"/>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Sensitivity</w:t>
            </w:r>
          </w:p>
        </w:tc>
        <w:tc>
          <w:tcPr>
            <w:tcW w:type="dxa" w:w="90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F1</w:t>
            </w:r>
          </w:p>
        </w:tc>
        <w:tc>
          <w:tcPr>
            <w:tcW w:type="dxa" w:w="105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ROC-AUC</w:t>
            </w:r>
          </w:p>
        </w:tc>
      </w:tr>
      <w:tr>
        <w:trPr>
          <w:cantSplit/>
          <w:tblHeader w:val="off"/>
        </w:trPr>
        <w:tc>
          <w:tcPr>
            <w:tcW w:type="dxa" w:w="2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0.7872</w:t>
            </w:r>
          </w:p>
        </w:tc>
        <w:tc>
          <w:tcPr>
            <w:tcW w:type="dxa" w:w="13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0.7778</w:t>
            </w:r>
          </w:p>
        </w:tc>
        <w:tc>
          <w:tcPr>
            <w:tcW w:type="dxa" w:w="16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0.7000</w:t>
            </w:r>
          </w:p>
        </w:tc>
        <w:tc>
          <w:tcPr>
            <w:tcW w:type="dxa" w:w="9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0.7368</w:t>
            </w:r>
          </w:p>
        </w:tc>
        <w:tc>
          <w:tcPr>
            <w:tcW w:type="dxa" w:w="10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0.9056</w:t>
            </w:r>
          </w:p>
        </w:tc>
      </w:tr>
      <w:tr>
        <w:trPr>
          <w:cantSplit/>
          <w:tblHeader w:val="off"/>
        </w:trPr>
        <w:tc>
          <w:tcPr>
            <w:tcW w:type="dxa" w:w="2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Random forest</w:t>
            </w:r>
          </w:p>
        </w:tc>
        <w:tc>
          <w:tcPr>
            <w:tcW w:type="dxa" w:w="1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0.8085</w:t>
            </w:r>
          </w:p>
        </w:tc>
        <w:tc>
          <w:tcPr>
            <w:tcW w:type="dxa" w:w="13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0.7895</w:t>
            </w:r>
          </w:p>
        </w:tc>
        <w:tc>
          <w:tcPr>
            <w:tcW w:type="dxa" w:w="16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0.7500</w:t>
            </w:r>
          </w:p>
        </w:tc>
        <w:tc>
          <w:tcPr>
            <w:tcW w:type="dxa" w:w="9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0.7692</w:t>
            </w:r>
          </w:p>
        </w:tc>
        <w:tc>
          <w:tcPr>
            <w:tcW w:type="dxa" w:w="10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0.9296</w:t>
            </w:r>
          </w:p>
        </w:tc>
      </w:tr>
      <w:tr>
        <w:trPr>
          <w:cantSplit/>
          <w:tblHeader w:val="off"/>
        </w:trPr>
        <w:tc>
          <w:tcPr>
            <w:tcW w:type="dxa" w:w="28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XGBoost</w:t>
            </w:r>
          </w:p>
        </w:tc>
        <w:tc>
          <w:tcPr>
            <w:tcW w:type="dxa" w:w="1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0.8085</w:t>
            </w:r>
          </w:p>
        </w:tc>
        <w:tc>
          <w:tcPr>
            <w:tcW w:type="dxa" w:w="13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0.7895</w:t>
            </w:r>
          </w:p>
        </w:tc>
        <w:tc>
          <w:tcPr>
            <w:tcW w:type="dxa" w:w="16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0.7500</w:t>
            </w:r>
          </w:p>
        </w:tc>
        <w:tc>
          <w:tcPr>
            <w:tcW w:type="dxa" w:w="9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0.7692</w:t>
            </w:r>
          </w:p>
        </w:tc>
        <w:tc>
          <w:tcPr>
            <w:tcW w:type="dxa" w:w="10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0.9333</w:t>
            </w:r>
          </w:p>
        </w:tc>
      </w:tr>
    </w:tbl>
    <w:p>
      <w:pPr>
        <w:spacing w:after="160"/>
      </w:pPr>
    </w:p>
    <w:p>
      <w:pPr>
        <w:spacing w:after="120" w:line="360"/>
        <w:jc w:val="both"/>
      </w:pPr>
      <w:r>
        <w:rPr>
          <w:rFonts w:ascii="Times New Roman" w:cs="Times New Roman" w:eastAsia="Times New Roman" w:hAnsi="Times New Roman"/>
          <w:sz w:val="24"/>
          <w:szCs w:val="24"/>
        </w:rPr>
        <w:t xml:space="preserve">Confusion matrices (rows = actual, columns = predicted, class order 0 then 1): logistic </w:t>
      </w:r>
      <w:r>
        <w:rPr>
          <w:rFonts w:ascii="Courier New" w:cs="Courier New" w:eastAsia="Courier New" w:hAnsi="Courier New"/>
          <w:sz w:val="21"/>
          <w:szCs w:val="21"/>
        </w:rPr>
        <w:t xml:space="preserve">[[23, 4], [6, 14]]</w:t>
      </w:r>
      <w:r>
        <w:rPr>
          <w:rFonts w:ascii="Times New Roman" w:cs="Times New Roman" w:eastAsia="Times New Roman" w:hAnsi="Times New Roman"/>
          <w:sz w:val="24"/>
          <w:szCs w:val="24"/>
        </w:rPr>
        <w:t xml:space="preserve">; random forest and XGBoost </w:t>
      </w:r>
      <w:r>
        <w:rPr>
          <w:rFonts w:ascii="Courier New" w:cs="Courier New" w:eastAsia="Courier New" w:hAnsi="Courier New"/>
          <w:sz w:val="21"/>
          <w:szCs w:val="21"/>
        </w:rPr>
        <w:t xml:space="preserve">[[23, 4], [5, 15]]</w:t>
      </w:r>
      <w:r>
        <w:rPr>
          <w:rFonts w:ascii="Times New Roman" w:cs="Times New Roman" w:eastAsia="Times New Roman" w:hAnsi="Times New Roman"/>
          <w:sz w:val="24"/>
          <w:szCs w:val="24"/>
        </w:rPr>
        <w:t xml:space="preserve">. Specificity is 85.2% for all three; the tree ensembles gain one extra correctly identified impaired subject.</w:t>
      </w:r>
    </w:p>
    <w:p>
      <w:pPr>
        <w:keepNext/>
        <w:spacing w:after="60" w:before="120"/>
        <w:jc w:val="center"/>
      </w:pPr>
      <w:r>
        <w:drawing>
          <wp:inline distT="0" distB="0" distL="0" distR="0">
            <wp:extent cx="3238500" cy="2628834"/>
            <wp:effectExtent t="0" r="0" b="0" l="0"/>
            <wp:docPr id="6" name="figures/06_cm_logistic.png" descr="Logistic regression" title="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62883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Logistic regression</w:t>
      </w:r>
    </w:p>
    <w:p>
      <w:pPr>
        <w:keepNext/>
        <w:spacing w:after="60" w:before="120"/>
        <w:jc w:val="center"/>
      </w:pPr>
      <w:r>
        <w:drawing>
          <wp:inline distT="0" distB="0" distL="0" distR="0">
            <wp:extent cx="3238500" cy="2628834"/>
            <wp:effectExtent t="0" r="0" b="0" l="0"/>
            <wp:docPr id="7" name="figures/07_cm_random_forest.png" descr="Random forest" title="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62883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forest</w:t>
      </w:r>
    </w:p>
    <w:p>
      <w:pPr>
        <w:keepNext/>
        <w:spacing w:after="60" w:before="120"/>
        <w:jc w:val="center"/>
      </w:pPr>
      <w:r>
        <w:drawing>
          <wp:inline distT="0" distB="0" distL="0" distR="0">
            <wp:extent cx="3238500" cy="2628834"/>
            <wp:effectExtent t="0" r="0" b="0" l="0"/>
            <wp:docPr id="8" name="figures/08_cm_xgboost.png" descr="XGBoost" title="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628834"/>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XGBoost</w:t>
      </w:r>
    </w:p>
    <w:p>
      <w:pPr>
        <w:keepNext/>
        <w:spacing w:after="60" w:before="120"/>
        <w:jc w:val="center"/>
      </w:pPr>
      <w:r>
        <w:drawing>
          <wp:inline distT="0" distB="0" distL="0" distR="0">
            <wp:extent cx="3238500" cy="2418627"/>
            <wp:effectExtent t="0" r="0" b="0" l="0"/>
            <wp:docPr id="9" name="figures/09_roc_comparison.png" descr="ROC comparison" title="ROC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418627"/>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ROC comparison</w:t>
      </w:r>
    </w:p>
    <w:p>
      <w:pPr>
        <w:pStyle w:val="Heading2"/>
      </w:pPr>
      <w:r>
        <w:rPr>
          <w:rFonts w:ascii="Times New Roman" w:cs="Times New Roman" w:eastAsia="Times New Roman" w:hAnsi="Times New Roman"/>
        </w:rPr>
        <w:t xml:space="preserve">4.2 Logistic regression coefficients</w:t>
      </w:r>
    </w:p>
    <w:p>
      <w:pPr>
        <w:spacing w:after="120" w:line="360"/>
        <w:jc w:val="both"/>
      </w:pPr>
      <w:r>
        <w:rPr>
          <w:rFonts w:ascii="Times New Roman" w:cs="Times New Roman" w:eastAsia="Times New Roman" w:hAnsi="Times New Roman"/>
          <w:sz w:val="24"/>
          <w:szCs w:val="24"/>
        </w:rPr>
        <w:t xml:space="preserve">Predictors are standardised, so each odds ratio is per one-SD increase with the others held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2"/>
        <w:gridCol w:w="3203"/>
        <w:gridCol w:w="2911"/>
      </w:tblGrid>
      <w:tr>
        <w:trPr>
          <w:cantSplit/>
          <w:tblHeader/>
        </w:trPr>
        <w:tc>
          <w:tcPr>
            <w:tcW w:type="dxa" w:w="2912"/>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Predictor</w:t>
            </w:r>
          </w:p>
        </w:tc>
        <w:tc>
          <w:tcPr>
            <w:tcW w:type="dxa" w:w="320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Coefficient</w:t>
            </w:r>
          </w:p>
        </w:tc>
        <w:tc>
          <w:tcPr>
            <w:tcW w:type="dxa" w:w="2911"/>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Odds ratio</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MMSE</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−2.605</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0.074</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nWBV</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−0.749</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0.473</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Educ</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−0.198</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0.820</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Age</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−0.174</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0.841</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SES</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−0.024</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0.976</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ASF</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0.066</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1.068</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M/F (male)</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0.133</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1.143</w:t>
            </w:r>
          </w:p>
        </w:tc>
      </w:tr>
      <w:tr>
        <w:trPr>
          <w:cantSplit/>
          <w:tblHeader w:val="off"/>
        </w:trPr>
        <w:tc>
          <w:tcPr>
            <w:tcW w:type="dxa" w:w="291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eTIV</w:t>
            </w:r>
          </w:p>
        </w:tc>
        <w:tc>
          <w:tcPr>
            <w:tcW w:type="dxa" w:w="320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0.191</w:t>
            </w:r>
          </w:p>
        </w:tc>
        <w:tc>
          <w:tcPr>
            <w:tcW w:type="dxa" w:w="29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1.211</w:t>
            </w:r>
          </w:p>
        </w:tc>
      </w:tr>
    </w:tbl>
    <w:p>
      <w:pPr>
        <w:spacing w:after="160"/>
      </w:pPr>
    </w:p>
    <w:p>
      <w:pPr>
        <w:spacing w:after="120" w:line="360"/>
        <w:jc w:val="both"/>
      </w:pPr>
      <w:r>
        <w:rPr>
          <w:rFonts w:ascii="Times New Roman" w:cs="Times New Roman" w:eastAsia="Times New Roman" w:hAnsi="Times New Roman"/>
          <w:sz w:val="24"/>
          <w:szCs w:val="24"/>
        </w:rPr>
        <w:t xml:space="preserve">Age's negative sign should not be read as protective: given MMSE and nWBV it adds little and shares variance with them. No standard errors were computed.</w:t>
      </w:r>
    </w:p>
    <w:p>
      <w:pPr>
        <w:pStyle w:val="Heading2"/>
      </w:pPr>
      <w:r>
        <w:rPr>
          <w:rFonts w:ascii="Times New Roman" w:cs="Times New Roman" w:eastAsia="Times New Roman" w:hAnsi="Times New Roman"/>
        </w:rPr>
        <w:t xml:space="preserve">4.3 Feature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4046"/>
        <w:gridCol w:w="2179"/>
      </w:tblGrid>
      <w:tr>
        <w:trPr>
          <w:cantSplit/>
          <w:tblHeader/>
        </w:trPr>
        <w:tc>
          <w:tcPr>
            <w:tcW w:type="dxa" w:w="2801"/>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Predictor</w:t>
            </w:r>
          </w:p>
        </w:tc>
        <w:tc>
          <w:tcPr>
            <w:tcW w:type="dxa" w:w="404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Random forest</w:t>
            </w:r>
          </w:p>
        </w:tc>
        <w:tc>
          <w:tcPr>
            <w:tcW w:type="dxa" w:w="2179"/>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XGBoost</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MMSE</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0.389</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0.439</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nWBV</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0.184</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0.123</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Age</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0.155</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0.101</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eTIV</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0.084</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0.064</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ASF</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0.084</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0.062</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Educ</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0.052</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0.071</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SES</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0.031</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0.066</w:t>
            </w:r>
          </w:p>
        </w:tc>
      </w:tr>
      <w:tr>
        <w:trPr>
          <w:cantSplit/>
          <w:tblHeader w:val="off"/>
        </w:trPr>
        <w:tc>
          <w:tcPr>
            <w:tcW w:type="dxa" w:w="280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M/F</w:t>
            </w:r>
          </w:p>
        </w:tc>
        <w:tc>
          <w:tcPr>
            <w:tcW w:type="dxa" w:w="40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0.022</w:t>
            </w:r>
          </w:p>
        </w:tc>
        <w:tc>
          <w:tcPr>
            <w:tcW w:type="dxa" w:w="217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0.075</w:t>
            </w:r>
          </w:p>
        </w:tc>
      </w:tr>
    </w:tbl>
    <w:p>
      <w:pPr>
        <w:spacing w:after="160"/>
      </w:pPr>
    </w:p>
    <w:p>
      <w:pPr>
        <w:keepNext/>
        <w:spacing w:after="60" w:before="120"/>
        <w:jc w:val="center"/>
      </w:pPr>
      <w:r>
        <w:drawing>
          <wp:inline distT="0" distB="0" distL="0" distR="0">
            <wp:extent cx="3238500" cy="2013788"/>
            <wp:effectExtent t="0" r="0" b="0" l="0"/>
            <wp:docPr id="10" name="figures/10_importance_random_forest.png" descr="Random forest" title="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2013788"/>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forest</w:t>
      </w:r>
    </w:p>
    <w:p>
      <w:pPr>
        <w:keepNext/>
        <w:spacing w:after="60" w:before="120"/>
        <w:jc w:val="center"/>
      </w:pPr>
      <w:r>
        <w:drawing>
          <wp:inline distT="0" distB="0" distL="0" distR="0">
            <wp:extent cx="3238500" cy="2008690"/>
            <wp:effectExtent t="0" r="0" b="0" l="0"/>
            <wp:docPr id="11" name="figures/11_importance_xgboost.png" descr="XGBoost" title="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00869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XGBoost</w:t>
      </w:r>
    </w:p>
    <w:p>
      <w:pPr>
        <w:pStyle w:val="Heading2"/>
      </w:pPr>
      <w:r>
        <w:rPr>
          <w:rFonts w:ascii="Times New Roman" w:cs="Times New Roman" w:eastAsia="Times New Roman" w:hAnsi="Times New Roman"/>
        </w:rPr>
        <w:t xml:space="preserve">4.4 Five-fold cross-validation (all 235 labeled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5"/>
        <w:gridCol w:w="1653"/>
        <w:gridCol w:w="1144"/>
        <w:gridCol w:w="1398"/>
        <w:gridCol w:w="763"/>
        <w:gridCol w:w="1653"/>
      </w:tblGrid>
      <w:tr>
        <w:trPr>
          <w:cantSplit/>
          <w:tblHeader/>
        </w:trPr>
        <w:tc>
          <w:tcPr>
            <w:tcW w:type="dxa" w:w="2415"/>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Model</w:t>
            </w:r>
          </w:p>
        </w:tc>
        <w:tc>
          <w:tcPr>
            <w:tcW w:type="dxa" w:w="165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Accuracy (SD)</w:t>
            </w:r>
          </w:p>
        </w:tc>
        <w:tc>
          <w:tcPr>
            <w:tcW w:type="dxa" w:w="1144"/>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Precision</w:t>
            </w:r>
          </w:p>
        </w:tc>
        <w:tc>
          <w:tcPr>
            <w:tcW w:type="dxa" w:w="1398"/>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Sensitivity</w:t>
            </w:r>
          </w:p>
        </w:tc>
        <w:tc>
          <w:tcPr>
            <w:tcW w:type="dxa" w:w="76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F1</w:t>
            </w:r>
          </w:p>
        </w:tc>
        <w:tc>
          <w:tcPr>
            <w:tcW w:type="dxa" w:w="1653"/>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ROC-AUC (SD)</w:t>
            </w:r>
          </w:p>
        </w:tc>
      </w:tr>
      <w:tr>
        <w:trPr>
          <w:cantSplit/>
          <w:tblHeader w:val="off"/>
        </w:trPr>
        <w:tc>
          <w:tcPr>
            <w:tcW w:type="dxa" w:w="24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0.817 (0.055)</w:t>
            </w:r>
          </w:p>
        </w:tc>
        <w:tc>
          <w:tcPr>
            <w:tcW w:type="dxa" w:w="11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0.824</w:t>
            </w:r>
          </w:p>
        </w:tc>
        <w:tc>
          <w:tcPr>
            <w:tcW w:type="dxa" w:w="13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0.730</w:t>
            </w:r>
          </w:p>
        </w:tc>
        <w:tc>
          <w:tcPr>
            <w:tcW w:type="dxa" w:w="7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0.767</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0.903 (0.035)</w:t>
            </w:r>
          </w:p>
        </w:tc>
      </w:tr>
      <w:tr>
        <w:trPr>
          <w:cantSplit/>
          <w:tblHeader w:val="off"/>
        </w:trPr>
        <w:tc>
          <w:tcPr>
            <w:tcW w:type="dxa" w:w="24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Random forest</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0.826 (0.043)</w:t>
            </w:r>
          </w:p>
        </w:tc>
        <w:tc>
          <w:tcPr>
            <w:tcW w:type="dxa" w:w="11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0.829</w:t>
            </w:r>
          </w:p>
        </w:tc>
        <w:tc>
          <w:tcPr>
            <w:tcW w:type="dxa" w:w="13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0.770</w:t>
            </w:r>
          </w:p>
        </w:tc>
        <w:tc>
          <w:tcPr>
            <w:tcW w:type="dxa" w:w="7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0.789</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0.906 (0.034)</w:t>
            </w:r>
          </w:p>
        </w:tc>
      </w:tr>
      <w:tr>
        <w:trPr>
          <w:cantSplit/>
          <w:tblHeader w:val="off"/>
        </w:trPr>
        <w:tc>
          <w:tcPr>
            <w:tcW w:type="dxa" w:w="24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XGBoost</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0.813 (0.068)</w:t>
            </w:r>
          </w:p>
        </w:tc>
        <w:tc>
          <w:tcPr>
            <w:tcW w:type="dxa" w:w="11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0.798</w:t>
            </w:r>
          </w:p>
        </w:tc>
        <w:tc>
          <w:tcPr>
            <w:tcW w:type="dxa" w:w="13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0.760</w:t>
            </w:r>
          </w:p>
        </w:tc>
        <w:tc>
          <w:tcPr>
            <w:tcW w:type="dxa" w:w="7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0.774</w:t>
            </w:r>
          </w:p>
        </w:tc>
        <w:tc>
          <w:tcPr>
            <w:tcW w:type="dxa" w:w="16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0.907 (0.030)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2355"/>
        <w:gridCol w:w="3336"/>
        <w:gridCol w:w="2158"/>
      </w:tblGrid>
      <w:tr>
        <w:trPr>
          <w:cantSplit/>
          <w:tblHeader/>
        </w:trPr>
        <w:tc>
          <w:tcPr>
            <w:tcW w:type="dxa" w:w="1177"/>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Fold</w:t>
            </w:r>
          </w:p>
        </w:tc>
        <w:tc>
          <w:tcPr>
            <w:tcW w:type="dxa" w:w="2355"/>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Logistic AUC</w:t>
            </w:r>
          </w:p>
        </w:tc>
        <w:tc>
          <w:tcPr>
            <w:tcW w:type="dxa" w:w="3336"/>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Random forest AUC</w:t>
            </w:r>
          </w:p>
        </w:tc>
        <w:tc>
          <w:tcPr>
            <w:tcW w:type="dxa" w:w="2158"/>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XGBoost AUC</w:t>
            </w:r>
          </w:p>
        </w:tc>
      </w:tr>
      <w:tr>
        <w:trPr>
          <w:cantSplit/>
          <w:tblHeader w:val="off"/>
        </w:trPr>
        <w:tc>
          <w:tcPr>
            <w:tcW w:type="dxa" w:w="117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1</w:t>
            </w:r>
          </w:p>
        </w:tc>
        <w:tc>
          <w:tcPr>
            <w:tcW w:type="dxa" w:w="23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0.9315</w:t>
            </w:r>
          </w:p>
        </w:tc>
        <w:tc>
          <w:tcPr>
            <w:tcW w:type="dxa" w:w="333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0.9167</w:t>
            </w:r>
          </w:p>
        </w:tc>
        <w:tc>
          <w:tcPr>
            <w:tcW w:type="dxa" w:w="21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0.9019</w:t>
            </w:r>
          </w:p>
        </w:tc>
      </w:tr>
      <w:tr>
        <w:trPr>
          <w:cantSplit/>
          <w:tblHeader w:val="off"/>
        </w:trPr>
        <w:tc>
          <w:tcPr>
            <w:tcW w:type="dxa" w:w="117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2</w:t>
            </w:r>
          </w:p>
        </w:tc>
        <w:tc>
          <w:tcPr>
            <w:tcW w:type="dxa" w:w="23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0.8778</w:t>
            </w:r>
          </w:p>
        </w:tc>
        <w:tc>
          <w:tcPr>
            <w:tcW w:type="dxa" w:w="333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0.8741</w:t>
            </w:r>
          </w:p>
        </w:tc>
        <w:tc>
          <w:tcPr>
            <w:tcW w:type="dxa" w:w="21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0.8870</w:t>
            </w:r>
          </w:p>
        </w:tc>
      </w:tr>
      <w:tr>
        <w:trPr>
          <w:cantSplit/>
          <w:tblHeader w:val="off"/>
        </w:trPr>
        <w:tc>
          <w:tcPr>
            <w:tcW w:type="dxa" w:w="117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3</w:t>
            </w:r>
          </w:p>
        </w:tc>
        <w:tc>
          <w:tcPr>
            <w:tcW w:type="dxa" w:w="23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0.9444</w:t>
            </w:r>
          </w:p>
        </w:tc>
        <w:tc>
          <w:tcPr>
            <w:tcW w:type="dxa" w:w="333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0.9389</w:t>
            </w:r>
          </w:p>
        </w:tc>
        <w:tc>
          <w:tcPr>
            <w:tcW w:type="dxa" w:w="21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0.9593</w:t>
            </w:r>
          </w:p>
        </w:tc>
      </w:tr>
      <w:tr>
        <w:trPr>
          <w:cantSplit/>
          <w:tblHeader w:val="off"/>
        </w:trPr>
        <w:tc>
          <w:tcPr>
            <w:tcW w:type="dxa" w:w="117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4</w:t>
            </w:r>
          </w:p>
        </w:tc>
        <w:tc>
          <w:tcPr>
            <w:tcW w:type="dxa" w:w="23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0.8500</w:t>
            </w:r>
          </w:p>
        </w:tc>
        <w:tc>
          <w:tcPr>
            <w:tcW w:type="dxa" w:w="333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0.8593</w:t>
            </w:r>
          </w:p>
        </w:tc>
        <w:tc>
          <w:tcPr>
            <w:tcW w:type="dxa" w:w="21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0.8704</w:t>
            </w:r>
          </w:p>
        </w:tc>
      </w:tr>
      <w:tr>
        <w:trPr>
          <w:cantSplit/>
          <w:tblHeader w:val="off"/>
        </w:trPr>
        <w:tc>
          <w:tcPr>
            <w:tcW w:type="dxa" w:w="117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5</w:t>
            </w:r>
          </w:p>
        </w:tc>
        <w:tc>
          <w:tcPr>
            <w:tcW w:type="dxa" w:w="235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0.9111</w:t>
            </w:r>
          </w:p>
        </w:tc>
        <w:tc>
          <w:tcPr>
            <w:tcW w:type="dxa" w:w="333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0.9426</w:t>
            </w:r>
          </w:p>
        </w:tc>
        <w:tc>
          <w:tcPr>
            <w:tcW w:type="dxa" w:w="215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0.9185</w:t>
            </w:r>
          </w:p>
        </w:tc>
      </w:tr>
    </w:tbl>
    <w:p>
      <w:pPr>
        <w:spacing w:after="160"/>
      </w:pPr>
    </w:p>
    <w:p>
      <w:pPr>
        <w:pStyle w:val="Heading2"/>
      </w:pPr>
      <w:r>
        <w:rPr>
          <w:rFonts w:ascii="Times New Roman" w:cs="Times New Roman" w:eastAsia="Times New Roman" w:hAnsi="Times New Roman"/>
        </w:rPr>
        <w:t xml:space="preserve">4.5 Bootstrap confidence intervals (test ROC-AUC, 5,000 resamples)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8"/>
        <w:gridCol w:w="1641"/>
        <w:gridCol w:w="1915"/>
        <w:gridCol w:w="2051"/>
        <w:gridCol w:w="821"/>
      </w:tblGrid>
      <w:tr>
        <w:trPr>
          <w:cantSplit/>
          <w:tblHeader/>
        </w:trPr>
        <w:tc>
          <w:tcPr>
            <w:tcW w:type="dxa" w:w="2598"/>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Model</w:t>
            </w:r>
          </w:p>
        </w:tc>
        <w:tc>
          <w:tcPr>
            <w:tcW w:type="dxa" w:w="1641"/>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Observed AUC</w:t>
            </w:r>
          </w:p>
        </w:tc>
        <w:tc>
          <w:tcPr>
            <w:tcW w:type="dxa" w:w="1915"/>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Bootstrap mean</w:t>
            </w:r>
          </w:p>
        </w:tc>
        <w:tc>
          <w:tcPr>
            <w:tcW w:type="dxa" w:w="2051"/>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95% CI</w:t>
            </w:r>
          </w:p>
        </w:tc>
        <w:tc>
          <w:tcPr>
            <w:tcW w:type="dxa" w:w="821"/>
            <w:tcBorders>
              <w:top w:val="single" w:color="999999" w:sz="4"/>
              <w:left w:val="single" w:color="999999" w:sz="4"/>
              <w:bottom w:val="single" w:color="999999" w:sz="4"/>
              <w:right w:val="single" w:color="999999" w:sz="4"/>
            </w:tcBorders>
            <w:shd w:fill="E7ECF3" w:color="auto" w:val="clear"/>
            <w:tcMar>
              <w:top w:type="dxa" w:w="50"/>
              <w:left w:type="dxa" w:w="90"/>
              <w:bottom w:type="dxa" w:w="50"/>
              <w:right w:type="dxa" w:w="90"/>
            </w:tcMar>
          </w:tcPr>
          <w:p>
            <w:pPr>
              <w:spacing w:line="276"/>
            </w:pPr>
            <w:r>
              <w:rPr>
                <w:rFonts w:ascii="Times New Roman" w:cs="Times New Roman" w:eastAsia="Times New Roman" w:hAnsi="Times New Roman"/>
                <w:b/>
                <w:bCs/>
                <w:sz w:val="20"/>
                <w:szCs w:val="20"/>
              </w:rPr>
              <w:t xml:space="preserve">SD</w:t>
            </w:r>
          </w:p>
        </w:tc>
      </w:tr>
      <w:tr>
        <w:trPr>
          <w:cantSplit/>
          <w:tblHeader w:val="off"/>
        </w:trPr>
        <w:tc>
          <w:tcPr>
            <w:tcW w:type="dxa" w:w="25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6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0.9056</w:t>
            </w:r>
          </w:p>
        </w:tc>
        <w:tc>
          <w:tcPr>
            <w:tcW w:type="dxa" w:w="19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0.9060</w:t>
            </w:r>
          </w:p>
        </w:tc>
        <w:tc>
          <w:tcPr>
            <w:tcW w:type="dxa" w:w="20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0.8084 – 0.9732</w:t>
            </w:r>
          </w:p>
        </w:tc>
        <w:tc>
          <w:tcPr>
            <w:tcW w:type="dxa" w:w="82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0.0425</w:t>
            </w:r>
          </w:p>
        </w:tc>
      </w:tr>
      <w:tr>
        <w:trPr>
          <w:cantSplit/>
          <w:tblHeader w:val="off"/>
        </w:trPr>
        <w:tc>
          <w:tcPr>
            <w:tcW w:type="dxa" w:w="25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Random forest</w:t>
            </w:r>
          </w:p>
        </w:tc>
        <w:tc>
          <w:tcPr>
            <w:tcW w:type="dxa" w:w="16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0.9296</w:t>
            </w:r>
          </w:p>
        </w:tc>
        <w:tc>
          <w:tcPr>
            <w:tcW w:type="dxa" w:w="19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0.9298</w:t>
            </w:r>
          </w:p>
        </w:tc>
        <w:tc>
          <w:tcPr>
            <w:tcW w:type="dxa" w:w="20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0.8485 – 0.9827</w:t>
            </w:r>
          </w:p>
        </w:tc>
        <w:tc>
          <w:tcPr>
            <w:tcW w:type="dxa" w:w="82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0.0349</w:t>
            </w:r>
          </w:p>
        </w:tc>
      </w:tr>
      <w:tr>
        <w:trPr>
          <w:cantSplit/>
          <w:tblHeader w:val="off"/>
        </w:trPr>
        <w:tc>
          <w:tcPr>
            <w:tcW w:type="dxa" w:w="259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XGBoost</w:t>
            </w:r>
          </w:p>
        </w:tc>
        <w:tc>
          <w:tcPr>
            <w:tcW w:type="dxa" w:w="16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0.9333</w:t>
            </w:r>
          </w:p>
        </w:tc>
        <w:tc>
          <w:tcPr>
            <w:tcW w:type="dxa" w:w="191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0.9333</w:t>
            </w:r>
          </w:p>
        </w:tc>
        <w:tc>
          <w:tcPr>
            <w:tcW w:type="dxa" w:w="205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0.8549 – 0.9852</w:t>
            </w:r>
          </w:p>
        </w:tc>
        <w:tc>
          <w:tcPr>
            <w:tcW w:type="dxa" w:w="82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line="276"/>
            </w:pPr>
            <w:r>
              <w:rPr>
                <w:rFonts w:ascii="Times New Roman" w:cs="Times New Roman" w:eastAsia="Times New Roman" w:hAnsi="Times New Roman"/>
                <w:b w:val="false"/>
                <w:bCs w:val="false"/>
                <w:sz w:val="20"/>
                <w:szCs w:val="20"/>
              </w:rPr>
              <w:t xml:space="preserve">0.0340</w:t>
            </w:r>
          </w:p>
        </w:tc>
      </w:tr>
    </w:tbl>
    <w:p>
      <w:pPr>
        <w:spacing w:after="160"/>
      </w:pPr>
    </w:p>
    <w:p>
      <w:pPr>
        <w:keepNext/>
        <w:spacing w:after="60" w:before="120"/>
        <w:jc w:val="center"/>
      </w:pPr>
      <w:r>
        <w:drawing>
          <wp:inline distT="0" distB="0" distL="0" distR="0">
            <wp:extent cx="3238500" cy="2004591"/>
            <wp:effectExtent t="0" r="0" b="0" l="0"/>
            <wp:docPr id="12" name="figures/12_bootstrap_logistic.png" descr="Logistic regression" title="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2004591"/>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Logistic regression</w:t>
      </w:r>
    </w:p>
    <w:p>
      <w:pPr>
        <w:keepNext/>
        <w:spacing w:after="60" w:before="120"/>
        <w:jc w:val="center"/>
      </w:pPr>
      <w:r>
        <w:drawing>
          <wp:inline distT="0" distB="0" distL="0" distR="0">
            <wp:extent cx="3238500" cy="2004591"/>
            <wp:effectExtent t="0" r="0" b="0" l="0"/>
            <wp:docPr id="13" name="figures/13_bootstrap_random_forest.png" descr="Random forest" title="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2004591"/>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forest</w:t>
      </w:r>
    </w:p>
    <w:p>
      <w:pPr>
        <w:keepNext/>
        <w:spacing w:after="60" w:before="120"/>
        <w:jc w:val="center"/>
      </w:pPr>
      <w:r>
        <w:drawing>
          <wp:inline distT="0" distB="0" distL="0" distR="0">
            <wp:extent cx="3238500" cy="2007131"/>
            <wp:effectExtent t="0" r="0" b="0" l="0"/>
            <wp:docPr id="14" name="figures/14_bootstrap_xgboost.png" descr="XGBoost" title="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2007131"/>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XGBoost</w:t>
      </w:r>
    </w:p>
    <w:p>
      <w:pPr>
        <w:pStyle w:val="Heading1"/>
      </w:pPr>
      <w:r>
        <w:rPr>
          <w:rFonts w:ascii="Times New Roman" w:cs="Times New Roman" w:eastAsia="Times New Roman" w:hAnsi="Times New Roman"/>
        </w:rPr>
        <w:t xml:space="preserve">5. Discussion</w:t>
      </w:r>
    </w:p>
    <w:p>
      <w:pPr>
        <w:spacing w:after="120" w:line="360"/>
        <w:jc w:val="both"/>
      </w:pPr>
      <w:r>
        <w:rPr>
          <w:rFonts w:ascii="Times New Roman" w:cs="Times New Roman" w:eastAsia="Times New Roman" w:hAnsi="Times New Roman"/>
          <w:b/>
          <w:bCs/>
          <w:sz w:val="24"/>
          <w:szCs w:val="24"/>
        </w:rPr>
        <w:t xml:space="preserve">Model choice matters less than the predictors.</w:t>
      </w:r>
      <w:r>
        <w:rPr>
          <w:rFonts w:ascii="Times New Roman" w:cs="Times New Roman" w:eastAsia="Times New Roman" w:hAnsi="Times New Roman"/>
          <w:sz w:val="24"/>
          <w:szCs w:val="24"/>
        </w:rPr>
        <w:t xml:space="preserve"> The ensembles correctly identified one more impaired test subject than logistic regression, and cross-validated AUCs agree to the third decimal. With 235 subjects and eight predictors, a regularised linear model captures nearly all the signal and is the easiest to interpret.</w:t>
      </w:r>
    </w:p>
    <w:p>
      <w:pPr>
        <w:spacing w:after="120" w:line="360"/>
        <w:jc w:val="both"/>
      </w:pPr>
      <w:r>
        <w:rPr>
          <w:rFonts w:ascii="Times New Roman" w:cs="Times New Roman" w:eastAsia="Times New Roman" w:hAnsi="Times New Roman"/>
          <w:b/>
          <w:bCs/>
          <w:sz w:val="24"/>
          <w:szCs w:val="24"/>
        </w:rPr>
        <w:t xml:space="preserve">MMSE dominates, with a caveat.</w:t>
      </w:r>
      <w:r>
        <w:rPr>
          <w:rFonts w:ascii="Times New Roman" w:cs="Times New Roman" w:eastAsia="Times New Roman" w:hAnsi="Times New Roman"/>
          <w:sz w:val="24"/>
          <w:szCs w:val="24"/>
        </w:rPr>
        <w:t xml:space="preserve"> MMSE is a cognitive test closely tied to the clinical picture that CDR summarises, so predicting CDR from MMSE is partly predicting one cognitive measure from another. High AUC is therefore not independent evidence that these models could screen for dementia. An MMSE-free ablation (MRI + demographics only) would show how much the other variables contribute on their own.</w:t>
      </w:r>
    </w:p>
    <w:p>
      <w:pPr>
        <w:pStyle w:val="Heading1"/>
      </w:pPr>
      <w:r>
        <w:rPr>
          <w:rFonts w:ascii="Times New Roman" w:cs="Times New Roman" w:eastAsia="Times New Roman" w:hAnsi="Times New Roman"/>
        </w:rPr>
        <w:t xml:space="preserve">6. Limitations</w:t>
      </w:r>
    </w:p>
    <w:p>
      <w:pPr>
        <w:pStyle w:val="ListParagraph"/>
        <w:numPr>
          <w:ilvl w:val="0"/>
          <w:numId w:val="2"/>
        </w:numPr>
        <w:spacing w:after="60" w:line="360"/>
      </w:pPr>
      <w:r>
        <w:rPr>
          <w:rFonts w:ascii="Times New Roman" w:cs="Times New Roman" w:eastAsia="Times New Roman" w:hAnsi="Times New Roman"/>
          <w:b/>
          <w:bCs/>
          <w:sz w:val="24"/>
          <w:szCs w:val="24"/>
        </w:rPr>
        <w:t xml:space="preserve">Small test set.</w:t>
      </w:r>
      <w:r>
        <w:rPr>
          <w:rFonts w:ascii="Times New Roman" w:cs="Times New Roman" w:eastAsia="Times New Roman" w:hAnsi="Times New Roman"/>
          <w:sz w:val="24"/>
          <w:szCs w:val="24"/>
        </w:rPr>
        <w:t xml:space="preserve"> 47 subjects (20 positive); one subject moves accuracy by 2.1 points and the AUC intervals span 0.13 to 0.17.</w:t>
      </w:r>
    </w:p>
    <w:p>
      <w:pPr>
        <w:pStyle w:val="ListParagraph"/>
        <w:numPr>
          <w:ilvl w:val="0"/>
          <w:numId w:val="2"/>
        </w:numPr>
        <w:spacing w:after="60" w:line="360"/>
      </w:pPr>
      <w:r>
        <w:rPr>
          <w:rFonts w:ascii="Times New Roman" w:cs="Times New Roman" w:eastAsia="Times New Roman" w:hAnsi="Times New Roman"/>
          <w:b/>
          <w:bCs/>
          <w:sz w:val="24"/>
          <w:szCs w:val="24"/>
        </w:rPr>
        <w:t xml:space="preserve">Age-restricted labels.</w:t>
      </w:r>
      <w:r>
        <w:rPr>
          <w:rFonts w:ascii="Times New Roman" w:cs="Times New Roman" w:eastAsia="Times New Roman" w:hAnsi="Times New Roman"/>
          <w:sz w:val="24"/>
          <w:szCs w:val="24"/>
        </w:rPr>
        <w:t xml:space="preserve"> CDR exists almost only for adults aged 33 and over.</w:t>
      </w:r>
    </w:p>
    <w:p>
      <w:pPr>
        <w:pStyle w:val="ListParagraph"/>
        <w:numPr>
          <w:ilvl w:val="0"/>
          <w:numId w:val="2"/>
        </w:numPr>
        <w:spacing w:after="60" w:line="360"/>
      </w:pPr>
      <w:r>
        <w:rPr>
          <w:rFonts w:ascii="Times New Roman" w:cs="Times New Roman" w:eastAsia="Times New Roman" w:hAnsi="Times New Roman"/>
          <w:b/>
          <w:bCs/>
          <w:sz w:val="24"/>
          <w:szCs w:val="24"/>
        </w:rPr>
        <w:t xml:space="preserve">Imputation.</w:t>
      </w:r>
      <w:r>
        <w:rPr>
          <w:rFonts w:ascii="Times New Roman" w:cs="Times New Roman" w:eastAsia="Times New Roman" w:hAnsi="Times New Roman"/>
          <w:sz w:val="24"/>
          <w:szCs w:val="24"/>
        </w:rPr>
        <w:t xml:space="preserve"> SES missingness is higher in the impaired group; median imputation ignores that.</w:t>
      </w:r>
    </w:p>
    <w:p>
      <w:pPr>
        <w:pStyle w:val="ListParagraph"/>
        <w:numPr>
          <w:ilvl w:val="0"/>
          <w:numId w:val="2"/>
        </w:numPr>
        <w:spacing w:after="60" w:line="360"/>
      </w:pPr>
      <w:r>
        <w:rPr>
          <w:rFonts w:ascii="Times New Roman" w:cs="Times New Roman" w:eastAsia="Times New Roman" w:hAnsi="Times New Roman"/>
          <w:b/>
          <w:bCs/>
          <w:sz w:val="24"/>
          <w:szCs w:val="24"/>
        </w:rPr>
        <w:t xml:space="preserve">Pooled outcome.</w:t>
      </w:r>
      <w:r>
        <w:rPr>
          <w:rFonts w:ascii="Times New Roman" w:cs="Times New Roman" w:eastAsia="Times New Roman" w:hAnsi="Times New Roman"/>
          <w:sz w:val="24"/>
          <w:szCs w:val="24"/>
        </w:rPr>
        <w:t xml:space="preserve"> CDR 0.5, 1 and 2 are merged; CDR 2 has only two cases.</w:t>
      </w:r>
    </w:p>
    <w:p>
      <w:pPr>
        <w:pStyle w:val="ListParagraph"/>
        <w:numPr>
          <w:ilvl w:val="0"/>
          <w:numId w:val="2"/>
        </w:numPr>
        <w:spacing w:after="60" w:line="360"/>
      </w:pPr>
      <w:r>
        <w:rPr>
          <w:rFonts w:ascii="Times New Roman" w:cs="Times New Roman" w:eastAsia="Times New Roman" w:hAnsi="Times New Roman"/>
          <w:b/>
          <w:bCs/>
          <w:sz w:val="24"/>
          <w:szCs w:val="24"/>
        </w:rPr>
        <w:t xml:space="preserve">No tuning protocol.</w:t>
      </w:r>
      <w:r>
        <w:rPr>
          <w:rFonts w:ascii="Times New Roman" w:cs="Times New Roman" w:eastAsia="Times New Roman" w:hAnsi="Times New Roman"/>
          <w:sz w:val="24"/>
          <w:szCs w:val="24"/>
        </w:rPr>
        <w:t xml:space="preserve"> Hyperparameters were set by hand, not by nested CV, and the threshold stayed at 0.5. Sensitivity (0.70–0.75) is below specificity (0.85).</w:t>
      </w:r>
    </w:p>
    <w:p>
      <w:pPr>
        <w:pStyle w:val="ListParagraph"/>
        <w:numPr>
          <w:ilvl w:val="0"/>
          <w:numId w:val="2"/>
        </w:numPr>
        <w:spacing w:after="60" w:line="360"/>
      </w:pPr>
      <w:r>
        <w:rPr>
          <w:rFonts w:ascii="Times New Roman" w:cs="Times New Roman" w:eastAsia="Times New Roman" w:hAnsi="Times New Roman"/>
          <w:b/>
          <w:bCs/>
          <w:sz w:val="24"/>
          <w:szCs w:val="24"/>
        </w:rPr>
        <w:t xml:space="preserve">Cross-sectional data.</w:t>
      </w:r>
      <w:r>
        <w:rPr>
          <w:rFonts w:ascii="Times New Roman" w:cs="Times New Roman" w:eastAsia="Times New Roman" w:hAnsi="Times New Roman"/>
          <w:sz w:val="24"/>
          <w:szCs w:val="24"/>
        </w:rPr>
        <w:t xml:space="preserve"> No progression or causal claims; importance scores are associations.</w:t>
      </w:r>
    </w:p>
    <w:p>
      <w:pPr>
        <w:pStyle w:val="ListParagraph"/>
        <w:numPr>
          <w:ilvl w:val="0"/>
          <w:numId w:val="2"/>
        </w:numPr>
        <w:spacing w:after="60" w:line="360"/>
      </w:pPr>
      <w:r>
        <w:rPr>
          <w:rFonts w:ascii="Times New Roman" w:cs="Times New Roman" w:eastAsia="Times New Roman" w:hAnsi="Times New Roman"/>
          <w:b/>
          <w:bCs/>
          <w:sz w:val="24"/>
          <w:szCs w:val="24"/>
        </w:rPr>
        <w:t xml:space="preserve">No external validation.</w:t>
      </w:r>
    </w:p>
    <w:p>
      <w:pPr>
        <w:pStyle w:val="Heading1"/>
      </w:pPr>
      <w:r>
        <w:rPr>
          <w:rFonts w:ascii="Times New Roman" w:cs="Times New Roman" w:eastAsia="Times New Roman" w:hAnsi="Times New Roman"/>
        </w:rPr>
        <w:t xml:space="preserve">7. Future work</w:t>
      </w:r>
    </w:p>
    <w:p>
      <w:pPr>
        <w:spacing w:after="120" w:line="360"/>
        <w:jc w:val="both"/>
      </w:pPr>
      <w:r>
        <w:rPr>
          <w:rFonts w:ascii="Times New Roman" w:cs="Times New Roman" w:eastAsia="Times New Roman" w:hAnsi="Times New Roman"/>
          <w:sz w:val="24"/>
          <w:szCs w:val="24"/>
        </w:rPr>
        <w:t xml:space="preserve">MMSE-free ablation; nested cross-validation with threshold tuning; calibration curves; ordinal or multiclass CDR modelling; external validation on a longitudinal cohort such as OASIS-2.</w:t>
      </w:r>
    </w:p>
    <w:p>
      <w:pPr>
        <w:pStyle w:val="Heading1"/>
      </w:pPr>
      <w:r>
        <w:rPr>
          <w:rFonts w:ascii="Times New Roman" w:cs="Times New Roman" w:eastAsia="Times New Roman" w:hAnsi="Times New Roman"/>
        </w:rPr>
        <w:t xml:space="preserve">References</w:t>
      </w:r>
    </w:p>
    <w:p>
      <w:pPr>
        <w:pStyle w:val="ListParagraph"/>
        <w:numPr>
          <w:ilvl w:val="0"/>
          <w:numId w:val="3"/>
        </w:numPr>
        <w:spacing w:after="60" w:line="360"/>
      </w:pPr>
      <w:r>
        <w:rPr>
          <w:rFonts w:ascii="Times New Roman" w:cs="Times New Roman" w:eastAsia="Times New Roman" w:hAnsi="Times New Roman"/>
          <w:sz w:val="24"/>
          <w:szCs w:val="24"/>
        </w:rPr>
        <w:t xml:space="preserve">Marcus, D. S., et al. (2007). Open Access Series of Imaging Studies (OASIS): Cross-sectional MRI data in young, middle aged, nondemented, and demented older adults. </w:t>
      </w:r>
      <w:r>
        <w:rPr>
          <w:rFonts w:ascii="Times New Roman" w:cs="Times New Roman" w:eastAsia="Times New Roman" w:hAnsi="Times New Roman"/>
          <w:i/>
          <w:iCs/>
          <w:sz w:val="24"/>
          <w:szCs w:val="24"/>
        </w:rPr>
        <w:t xml:space="preserve">Journal of Cognitive Neuroscience</w:t>
      </w:r>
      <w:r>
        <w:rPr>
          <w:rFonts w:ascii="Times New Roman" w:cs="Times New Roman" w:eastAsia="Times New Roman" w:hAnsi="Times New Roman"/>
          <w:sz w:val="24"/>
          <w:szCs w:val="24"/>
        </w:rPr>
        <w:t xml:space="preserve">, 19(9), 1498–1507.</w:t>
      </w:r>
    </w:p>
    <w:p>
      <w:pPr>
        <w:pStyle w:val="ListParagraph"/>
        <w:numPr>
          <w:ilvl w:val="0"/>
          <w:numId w:val="3"/>
        </w:numPr>
        <w:spacing w:after="60" w:line="360"/>
      </w:pPr>
      <w:r>
        <w:rPr>
          <w:rFonts w:ascii="Times New Roman" w:cs="Times New Roman" w:eastAsia="Times New Roman" w:hAnsi="Times New Roman"/>
          <w:sz w:val="24"/>
          <w:szCs w:val="24"/>
        </w:rPr>
        <w:t xml:space="preserve">Morris, J. C. (1993). The Clinical Dementia Rating (CDR): Current version and scoring rules. </w:t>
      </w:r>
      <w:r>
        <w:rPr>
          <w:rFonts w:ascii="Times New Roman" w:cs="Times New Roman" w:eastAsia="Times New Roman" w:hAnsi="Times New Roman"/>
          <w:i/>
          <w:iCs/>
          <w:sz w:val="24"/>
          <w:szCs w:val="24"/>
        </w:rPr>
        <w:t xml:space="preserve">Neurology</w:t>
      </w:r>
      <w:r>
        <w:rPr>
          <w:rFonts w:ascii="Times New Roman" w:cs="Times New Roman" w:eastAsia="Times New Roman" w:hAnsi="Times New Roman"/>
          <w:sz w:val="24"/>
          <w:szCs w:val="24"/>
        </w:rPr>
        <w:t xml:space="preserve">, 43(11), 2412–2414.</w:t>
      </w:r>
    </w:p>
    <w:p>
      <w:pPr>
        <w:pStyle w:val="ListParagraph"/>
        <w:numPr>
          <w:ilvl w:val="0"/>
          <w:numId w:val="3"/>
        </w:numPr>
        <w:spacing w:after="60" w:line="360"/>
      </w:pPr>
      <w:r>
        <w:rPr>
          <w:rFonts w:ascii="Times New Roman" w:cs="Times New Roman" w:eastAsia="Times New Roman" w:hAnsi="Times New Roman"/>
          <w:sz w:val="24"/>
          <w:szCs w:val="24"/>
        </w:rPr>
        <w:t xml:space="preserve">Folstein, M. F., Folstein, S. E., &amp; McHugh, P. R. (1975). "Mini-mental state": A practical method for grading the cognitive state of patients for the clinician. </w:t>
      </w:r>
      <w:r>
        <w:rPr>
          <w:rFonts w:ascii="Times New Roman" w:cs="Times New Roman" w:eastAsia="Times New Roman" w:hAnsi="Times New Roman"/>
          <w:i/>
          <w:iCs/>
          <w:sz w:val="24"/>
          <w:szCs w:val="24"/>
        </w:rPr>
        <w:t xml:space="preserve">Journal of Psychiatric Research</w:t>
      </w:r>
      <w:r>
        <w:rPr>
          <w:rFonts w:ascii="Times New Roman" w:cs="Times New Roman" w:eastAsia="Times New Roman" w:hAnsi="Times New Roman"/>
          <w:sz w:val="24"/>
          <w:szCs w:val="24"/>
        </w:rPr>
        <w:t xml:space="preserve">, 12(3), 189–198.</w:t>
      </w:r>
    </w:p>
    <w:p>
      <w:pPr>
        <w:pStyle w:val="ListParagraph"/>
        <w:numPr>
          <w:ilvl w:val="0"/>
          <w:numId w:val="3"/>
        </w:numPr>
        <w:spacing w:after="60" w:line="36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45(1), 5–32.</w:t>
      </w:r>
    </w:p>
    <w:p>
      <w:pPr>
        <w:pStyle w:val="ListParagraph"/>
        <w:numPr>
          <w:ilvl w:val="0"/>
          <w:numId w:val="3"/>
        </w:numPr>
        <w:spacing w:after="60" w:line="360"/>
      </w:pPr>
      <w:r>
        <w:rPr>
          <w:rFonts w:ascii="Times New Roman" w:cs="Times New Roman" w:eastAsia="Times New Roman" w:hAnsi="Times New Roman"/>
          <w:sz w:val="24"/>
          <w:szCs w:val="24"/>
        </w:rPr>
        <w:t xml:space="preserve">Chen, T., &amp; Guestrin, C. (2016). XGBoost: A scalable tree boosting system. </w:t>
      </w:r>
      <w:r>
        <w:rPr>
          <w:rFonts w:ascii="Times New Roman" w:cs="Times New Roman" w:eastAsia="Times New Roman" w:hAnsi="Times New Roman"/>
          <w:i/>
          <w:iCs/>
          <w:sz w:val="24"/>
          <w:szCs w:val="24"/>
        </w:rPr>
        <w:t xml:space="preserve">Proceedings of the 22nd ACM SIGKDD Conference</w:t>
      </w:r>
      <w:r>
        <w:rPr>
          <w:rFonts w:ascii="Times New Roman" w:cs="Times New Roman" w:eastAsia="Times New Roman" w:hAnsi="Times New Roman"/>
          <w:sz w:val="24"/>
          <w:szCs w:val="24"/>
        </w:rPr>
        <w:t xml:space="preserve">, 785–794.</w:t>
      </w:r>
    </w:p>
    <w:p>
      <w:pPr>
        <w:pStyle w:val="ListParagraph"/>
        <w:numPr>
          <w:ilvl w:val="0"/>
          <w:numId w:val="3"/>
        </w:numPr>
        <w:spacing w:after="60" w:line="360"/>
      </w:pPr>
      <w:r>
        <w:rPr>
          <w:rFonts w:ascii="Times New Roman" w:cs="Times New Roman" w:eastAsia="Times New Roman" w:hAnsi="Times New Roman"/>
          <w:sz w:val="24"/>
          <w:szCs w:val="24"/>
        </w:rPr>
        <w:t xml:space="preserve">Efron, B. (1979). Bootstrap methods: Another look at the jackknife. </w:t>
      </w:r>
      <w:r>
        <w:rPr>
          <w:rFonts w:ascii="Times New Roman" w:cs="Times New Roman" w:eastAsia="Times New Roman" w:hAnsi="Times New Roman"/>
          <w:i/>
          <w:iCs/>
          <w:sz w:val="24"/>
          <w:szCs w:val="24"/>
        </w:rPr>
        <w:t xml:space="preserve">The Annals of Statistics</w:t>
      </w:r>
      <w:r>
        <w:rPr>
          <w:rFonts w:ascii="Times New Roman" w:cs="Times New Roman" w:eastAsia="Times New Roman" w:hAnsi="Times New Roman"/>
          <w:sz w:val="24"/>
          <w:szCs w:val="24"/>
        </w:rPr>
        <w:t xml:space="preserve">, 7(1), 1–26.</w:t>
      </w:r>
    </w:p>
    <w:p>
      <w:pPr>
        <w:pStyle w:val="ListParagraph"/>
        <w:numPr>
          <w:ilvl w:val="0"/>
          <w:numId w:val="3"/>
        </w:numPr>
        <w:spacing w:after="60" w:line="360"/>
      </w:pPr>
      <w:r>
        <w:rPr>
          <w:rFonts w:ascii="Times New Roman" w:cs="Times New Roman" w:eastAsia="Times New Roman" w:hAnsi="Times New Roman"/>
          <w:sz w:val="24"/>
          <w:szCs w:val="24"/>
        </w:rPr>
        <w:t xml:space="preserve">Mann, H. B., &amp; Whitney, D. R. (1947). On a test of whether one of two random variables is stochastically larger than the other. </w:t>
      </w:r>
      <w:r>
        <w:rPr>
          <w:rFonts w:ascii="Times New Roman" w:cs="Times New Roman" w:eastAsia="Times New Roman" w:hAnsi="Times New Roman"/>
          <w:i/>
          <w:iCs/>
          <w:sz w:val="24"/>
          <w:szCs w:val="24"/>
        </w:rPr>
        <w:t xml:space="preserve">The Annals of Mathematical Statistics</w:t>
      </w:r>
      <w:r>
        <w:rPr>
          <w:rFonts w:ascii="Times New Roman" w:cs="Times New Roman" w:eastAsia="Times New Roman" w:hAnsi="Times New Roman"/>
          <w:sz w:val="24"/>
          <w:szCs w:val="24"/>
        </w:rPr>
        <w:t xml:space="preserve">, 18(1), 50–60.</w:t>
      </w:r>
    </w:p>
    <w:p>
      <w:pPr>
        <w:pStyle w:val="ListParagraph"/>
        <w:numPr>
          <w:ilvl w:val="0"/>
          <w:numId w:val="3"/>
        </w:numPr>
        <w:spacing w:after="60" w:line="360"/>
      </w:pP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12, 2825–2830.</w:t>
      </w:r>
    </w:p>
    <w:sectPr>
      <w:footerReference w:type="default" r:id="rId6"/>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7dccbd13970299c12d898978305ab6bb614e5b8.png"/><Relationship Id="rId9" Type="http://schemas.openxmlformats.org/officeDocument/2006/relationships/image" Target="media/9c778ac998b44ba7e3f3a2acacc50cbd532dd7bf.png"/><Relationship Id="rId10" Type="http://schemas.openxmlformats.org/officeDocument/2006/relationships/image" Target="media/fbf85e4633b1c829f943e2b4ad0407124ff548fb.png"/><Relationship Id="rId11" Type="http://schemas.openxmlformats.org/officeDocument/2006/relationships/image" Target="media/b6b380dd6fe7aa5a493164f94e3296eac005edec.png"/><Relationship Id="rId12" Type="http://schemas.openxmlformats.org/officeDocument/2006/relationships/image" Target="media/910b90957af27a592825b66a0e046b416f675ece.png"/><Relationship Id="rId13" Type="http://schemas.openxmlformats.org/officeDocument/2006/relationships/image" Target="media/2c41403f6fd80217b0ccf5302b27e82b85d737ce.png"/><Relationship Id="rId14" Type="http://schemas.openxmlformats.org/officeDocument/2006/relationships/image" Target="media/ba058906019348a2f024f19e444a4bb24d484abd.png"/><Relationship Id="rId15" Type="http://schemas.openxmlformats.org/officeDocument/2006/relationships/image" Target="media/0f2d406db509b915661d8b4fc10dd9f4beb40e2c.png"/><Relationship Id="rId16" Type="http://schemas.openxmlformats.org/officeDocument/2006/relationships/image" Target="media/cba62b410e9e8a7133eb46d4b648ce412743aac8.png"/><Relationship Id="rId17" Type="http://schemas.openxmlformats.org/officeDocument/2006/relationships/image" Target="media/9de86fbd8a7f32f99c7b4bd564f33f9b4074fd9e.png"/><Relationship Id="rId18" Type="http://schemas.openxmlformats.org/officeDocument/2006/relationships/image" Target="media/4634d076c736a4ef11a8218847880c2fa45bf3e5.png"/><Relationship Id="rId19" Type="http://schemas.openxmlformats.org/officeDocument/2006/relationships/image" Target="media/e13bf7a034725b076d90825e55e77639fa62d304.png"/><Relationship Id="rId20" Type="http://schemas.openxmlformats.org/officeDocument/2006/relationships/image" Target="media/a50fdcbb24fe104ee13effa99b1934c283523fd3.png"/><Relationship Id="rId21" Type="http://schemas.openxmlformats.org/officeDocument/2006/relationships/image" Target="media/7587eb30c578060bf4793fff1f326805ed4b9b4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2026-10-26T20:03:41.397Z</dcterms:created>
  <dcterms:modified xsi:type="dcterms:W3CDTF">2026-10-26T20:03:41.397Z</dcterms:modified>
</cp:coreProperties>
</file>

<file path=docProps/custom.xml><?xml version="1.0" encoding="utf-8"?>
<Properties xmlns="http://schemas.openxmlformats.org/officeDocument/2006/custom-properties" xmlns:vt="http://schemas.openxmlformats.org/officeDocument/2006/docPropsVTypes"/>
</file>