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C58CF"/>
          <w:spacing w:val="40"/>
          <w:sz w:val="18"/>
          <w:szCs w:val="18"/>
        </w:rPr>
        <w:t xml:space="preserve">HOWL PLATFORM · DOCUMENT 00</w:t>
      </w:r>
    </w:p>
    <w:p>
      <w:pPr>
        <w:spacing w:after="120"/>
      </w:pPr>
      <w:r>
        <w:rPr>
          <w:b/>
          <w:bCs/>
          <w:color w:val="17202A"/>
          <w:sz w:val="52"/>
          <w:szCs w:val="52"/>
        </w:rPr>
        <w:t xml:space="preserve">Start Here</w:t>
      </w:r>
    </w:p>
    <w:p>
      <w:pPr>
        <w:spacing w:after="160"/>
      </w:pPr>
      <w:r>
        <w:rPr>
          <w:color w:val="5B6573"/>
          <w:sz w:val="24"/>
          <w:szCs w:val="24"/>
        </w:rPr>
        <w:t xml:space="preserve">Folder guide and reading order for the HOWL Platform documentation.</w:t>
      </w:r>
    </w:p>
    <w:p>
      <w:pPr>
        <w:pBdr>
          <w:bottom w:val="single" w:color="2C58CF" w:sz="8" w:space="10"/>
        </w:pBdr>
        <w:spacing w:after="320"/>
      </w:pPr>
      <w:r>
        <w:rPr>
          <w:color w:val="5B6573"/>
          <w:sz w:val="18"/>
          <w:szCs w:val="18"/>
        </w:rPr>
        <w:t xml:space="preserve">Version 0.1 (draft)  ·  28 September 2026  ·  Prepared for the HOWL tech team  ·  First brand: Ampere</w:t>
      </w:r>
    </w:p>
    <w:p>
      <w:pPr>
        <w:spacing w:after="200" w:line="300"/>
      </w:pPr>
      <w:r>
        <w:rPr>
          <w:color w:val="5B6573"/>
          <w:sz w:val="24"/>
          <w:szCs w:val="24"/>
        </w:rPr>
        <w:t xml:space="preserve">This folder holds the design documentation for the HOWL Platform: what it is, why it exists, how it works, which tools it uses and why, and how to build it in phases. Start here to decide which document to read first.</w:t>
      </w:r>
    </w:p>
    <w:p>
      <w:pPr>
        <w:pStyle w:val="Heading1"/>
        <w:spacing w:after="160" w:before="360"/>
      </w:pPr>
      <w:r>
        <w:t xml:space="preserve">What is in this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4513"/>
        <w:gridCol w:w="2257"/>
      </w:tblGrid>
      <w:tr>
        <w:trPr>
          <w:tblHeader/>
        </w:trPr>
        <w:tc>
          <w:tcPr>
            <w:tcW w:type="dxa" w:w="2256"/>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File</w:t>
            </w:r>
          </w:p>
        </w:tc>
        <w:tc>
          <w:tcPr>
            <w:tcW w:type="dxa" w:w="4513"/>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What it covers</w:t>
            </w:r>
          </w:p>
        </w:tc>
        <w:tc>
          <w:tcPr>
            <w:tcW w:type="dxa" w:w="2257"/>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Read it when</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00_Start_Here.docx</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This guide. Folder map, reading order, glossary pointer.</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First</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01_Platform_Overview.docx</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basics: what the platform is, the problem it solves, who uses it, core concepts, design principles, what it is not.</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Before anything else</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02_Workflow_and_Architecture.docx</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full architecture, every component, the end-to-end run workflow, the classification loop, the review process, the media-plan branch, error handling and security.</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Before designing or coding any component</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03_Tool_Stack_and_Rationale.docx</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Every tool choice, why it was picked, and the alternatives that were considered and rejected.</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When choosing or questioning a tool</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04_Data_Model_and_Contracts.docx</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brand manifest, canonical schemas, database tables, decision ledger, generator contract and metric dictionary.</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Before writing migrations, adapters or generators</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05_Phase_Wise_Build_Plan.docx</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build broken into Phase 0 to Phase 5 plus scheduling, each with tasks, outputs, an exit test and risks. Also the repo layout.</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When planning sprints</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06_Worked_Example_Engagement_Report.docx</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existing engagement-rate sheet analysed, and how it is rebuilt properly on the platform.</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As a concrete reference for how a report moves through the system</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07_Decisions_Risks_Open_Questions.docx</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decision log, the risk register and the questions still to answer.</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Before Phase 0 kicks off, and at each phase review</w:t>
            </w:r>
          </w:p>
        </w:tc>
      </w:tr>
      <w:tr>
        <w:trPr>
          <w:cantSplit/>
        </w:trPr>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diagrams/</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Full-resolution PNGs of every diagram used in these documents.</w:t>
            </w:r>
          </w:p>
        </w:tc>
        <w:tc>
          <w:tcPr>
            <w:tcW w:type="dxa" w:w="225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For slides or printing</w:t>
            </w:r>
          </w:p>
        </w:tc>
      </w:tr>
    </w:tbl>
    <w:p>
      <w:pPr>
        <w:pStyle w:val="Heading1"/>
        <w:spacing w:after="160" w:before="360"/>
      </w:pPr>
      <w:r>
        <w:t xml:space="preserve">Suggested reading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1"/>
        <w:gridCol w:w="3282"/>
        <w:gridCol w:w="3283"/>
      </w:tblGrid>
      <w:tr>
        <w:trPr>
          <w:tblHeader/>
        </w:trPr>
        <w:tc>
          <w:tcPr>
            <w:tcW w:type="dxa" w:w="2461"/>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Role</w:t>
            </w:r>
          </w:p>
        </w:tc>
        <w:tc>
          <w:tcPr>
            <w:tcW w:type="dxa" w:w="3282"/>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Read</w:t>
            </w:r>
          </w:p>
        </w:tc>
        <w:tc>
          <w:tcPr>
            <w:tcW w:type="dxa" w:w="3283"/>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Skim</w:t>
            </w:r>
          </w:p>
        </w:tc>
      </w:tr>
      <w:tr>
        <w:trPr>
          <w:cantSplit/>
        </w:trPr>
        <w:tc>
          <w:tcPr>
            <w:tcW w:type="dxa" w:w="2461"/>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Founder or account lead</w:t>
            </w:r>
          </w:p>
        </w:tc>
        <w:tc>
          <w:tcPr>
            <w:tcW w:type="dxa" w:w="328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01, 05, 07</w:t>
            </w:r>
          </w:p>
        </w:tc>
        <w:tc>
          <w:tcPr>
            <w:tcW w:type="dxa" w:w="328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02 (diagrams only), 06</w:t>
            </w:r>
          </w:p>
        </w:tc>
      </w:tr>
      <w:tr>
        <w:trPr>
          <w:cantSplit/>
        </w:trPr>
        <w:tc>
          <w:tcPr>
            <w:tcW w:type="dxa" w:w="2461"/>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Developer building the platform</w:t>
            </w:r>
          </w:p>
        </w:tc>
        <w:tc>
          <w:tcPr>
            <w:tcW w:type="dxa" w:w="328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01, 02, 04, 05</w:t>
            </w:r>
          </w:p>
        </w:tc>
        <w:tc>
          <w:tcPr>
            <w:tcW w:type="dxa" w:w="328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03, 06, 07</w:t>
            </w:r>
          </w:p>
        </w:tc>
      </w:tr>
      <w:tr>
        <w:trPr>
          <w:cantSplit/>
        </w:trPr>
        <w:tc>
          <w:tcPr>
            <w:tcW w:type="dxa" w:w="2461"/>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Analyst working the review queue</w:t>
            </w:r>
          </w:p>
        </w:tc>
        <w:tc>
          <w:tcPr>
            <w:tcW w:type="dxa" w:w="328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01, 02 (sections on classification and review), 06</w:t>
            </w:r>
          </w:p>
        </w:tc>
        <w:tc>
          <w:tcPr>
            <w:tcW w:type="dxa" w:w="328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04</w:t>
            </w:r>
          </w:p>
        </w:tc>
      </w:tr>
      <w:tr>
        <w:trPr>
          <w:cantSplit/>
        </w:trPr>
        <w:tc>
          <w:tcPr>
            <w:tcW w:type="dxa" w:w="2461"/>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New team member</w:t>
            </w:r>
          </w:p>
        </w:tc>
        <w:tc>
          <w:tcPr>
            <w:tcW w:type="dxa" w:w="328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00, 01, then the system map in 02</w:t>
            </w:r>
          </w:p>
        </w:tc>
        <w:tc>
          <w:tcPr>
            <w:tcW w:type="dxa" w:w="328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Everything else as needed</w:t>
            </w:r>
          </w:p>
        </w:tc>
      </w:tr>
    </w:tbl>
    <w:p>
      <w:pPr>
        <w:pStyle w:val="Heading1"/>
        <w:spacing w:after="160" w:before="360"/>
      </w:pPr>
      <w:r>
        <w:t xml:space="preserve">The platform in three sentences</w:t>
      </w:r>
    </w:p>
    <w:p>
      <w:pPr>
        <w:spacing w:after="140" w:line="288"/>
      </w:pPr>
      <w:r>
        <w:t xml:space="preserve">A brand is onboarded once: its data sources, brand identity and classification rules are written into a single brand manifest. From then on, every report for that brand is generated on demand by code that reads one clean, shared store of that brand's data. People only step in to resolve items the system is unsure about and to check a draft before it goes to the client.</w:t>
      </w:r>
    </w:p>
    <w:p>
      <w:pPr>
        <w:pStyle w:val="Heading1"/>
        <w:spacing w:after="160" w:before="360"/>
      </w:pPr>
      <w:r>
        <w:t xml:space="preserve">Diagrams</w:t>
      </w:r>
    </w:p>
    <w:p>
      <w:pPr>
        <w:pStyle w:val="ListParagraph"/>
        <w:numPr>
          <w:ilvl w:val="0"/>
          <w:numId w:val="2"/>
        </w:numPr>
        <w:spacing w:after="80" w:line="276"/>
      </w:pPr>
      <w:r>
        <w:rPr>
          <w:rFonts w:ascii="Consolas" w:cs="Consolas" w:eastAsia="Consolas" w:hAnsi="Consolas"/>
          <w:sz w:val="20"/>
          <w:szCs w:val="20"/>
        </w:rPr>
        <w:t xml:space="preserve">diagrams/system_map.png</w:t>
      </w:r>
      <w:r>
        <w:t xml:space="preserve">: the whole system on one page (sources, ingestion, core, deliverables, delivery, media-plan branch).</w:t>
      </w:r>
    </w:p>
    <w:p>
      <w:pPr>
        <w:pStyle w:val="ListParagraph"/>
        <w:numPr>
          <w:ilvl w:val="0"/>
          <w:numId w:val="2"/>
        </w:numPr>
        <w:spacing w:after="80" w:line="276"/>
      </w:pPr>
      <w:r>
        <w:rPr>
          <w:rFonts w:ascii="Consolas" w:cs="Consolas" w:eastAsia="Consolas" w:hAnsi="Consolas"/>
          <w:sz w:val="20"/>
          <w:szCs w:val="20"/>
        </w:rPr>
        <w:t xml:space="preserve">diagrams/layers.png</w:t>
      </w:r>
      <w:r>
        <w:t xml:space="preserve">: the two-layer architecture and the boundary between the platform and the reports.</w:t>
      </w:r>
    </w:p>
    <w:p>
      <w:pPr>
        <w:pStyle w:val="ListParagraph"/>
        <w:numPr>
          <w:ilvl w:val="0"/>
          <w:numId w:val="2"/>
        </w:numPr>
        <w:spacing w:after="80" w:line="276"/>
      </w:pPr>
      <w:r>
        <w:rPr>
          <w:rFonts w:ascii="Consolas" w:cs="Consolas" w:eastAsia="Consolas" w:hAnsi="Consolas"/>
          <w:sz w:val="20"/>
          <w:szCs w:val="20"/>
        </w:rPr>
        <w:t xml:space="preserve">diagrams/learning_loop.png</w:t>
      </w:r>
      <w:r>
        <w:t xml:space="preserve">: how classification uses the decision ledger so review work shrinks over time.</w:t>
      </w:r>
    </w:p>
    <w:p>
      <w:pPr>
        <w:pStyle w:val="ListParagraph"/>
        <w:numPr>
          <w:ilvl w:val="0"/>
          <w:numId w:val="2"/>
        </w:numPr>
        <w:spacing w:after="80" w:line="276"/>
      </w:pPr>
      <w:r>
        <w:rPr>
          <w:rFonts w:ascii="Consolas" w:cs="Consolas" w:eastAsia="Consolas" w:hAnsi="Consolas"/>
          <w:sz w:val="20"/>
          <w:szCs w:val="20"/>
        </w:rPr>
        <w:t xml:space="preserve">diagrams/media_plan.png</w:t>
      </w:r>
      <w:r>
        <w:t xml:space="preserve">: how a media plan generates the names that later join actuals back to the plan.</w:t>
      </w:r>
    </w:p>
    <w:p>
      <w:pPr>
        <w:spacing w:after="140" w:line="288"/>
      </w:pPr>
      <w:r>
        <w:t xml:space="preserve">Interactive versions (private until shared from the page's Share menu): the HOWL System Map at claude.ai/artifact/9ERSJiX8Kn7qJGZY1GEFJj and the HOWL Platform Blueprint at claude.ai/artifact/YRBq2i93cZBLqZAwfNeEAy.</w:t>
      </w:r>
    </w:p>
    <w:p>
      <w:pPr>
        <w:pStyle w:val="Heading1"/>
        <w:spacing w:after="160" w:before="360"/>
      </w:pPr>
      <w:r>
        <w:t xml:space="preserve">Source of these documents</w:t>
      </w:r>
    </w:p>
    <w:p>
      <w:pPr>
        <w:spacing w:after="140" w:line="288"/>
      </w:pPr>
      <w:r>
        <w:t xml:space="preserve">These documents expand the HOWL Platform Developer Build Specification (</w:t>
      </w:r>
      <w:r>
        <w:rPr>
          <w:rFonts w:ascii="Consolas" w:cs="Consolas" w:eastAsia="Consolas" w:hAnsi="Consolas"/>
          <w:sz w:val="20"/>
          <w:szCs w:val="20"/>
        </w:rPr>
        <w:t xml:space="preserve">HOWL_Platform_Developer_Build_Spec.md.docx</w:t>
      </w:r>
      <w:r>
        <w:t xml:space="preserve">). Where they differ from the spec, the difference is intentional and is recorded as a decision in document 07.</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HOWL Platform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7202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C58CF"/>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720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creator>HOWL tech</dc:creator>
  <dc:description>Folder guide and reading order for the HOWL Platform documentation.</dc:description>
  <cp:lastModifiedBy>Un-named</cp:lastModifiedBy>
  <cp:revision>1</cp:revision>
  <dcterms:created xsi:type="dcterms:W3CDTF">2026-09-27T20:18:18.521Z</dcterms:created>
  <dcterms:modified xsi:type="dcterms:W3CDTF">2026-09-27T20:18:18.521Z</dcterms:modified>
</cp:coreProperties>
</file>

<file path=docProps/custom.xml><?xml version="1.0" encoding="utf-8"?>
<Properties xmlns="http://schemas.openxmlformats.org/officeDocument/2006/custom-properties" xmlns:vt="http://schemas.openxmlformats.org/officeDocument/2006/docPropsVTypes"/>
</file>