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C58CF"/>
          <w:spacing w:val="40"/>
          <w:sz w:val="18"/>
          <w:szCs w:val="18"/>
        </w:rPr>
        <w:t xml:space="preserve">HOWL PLATFORM · DOCUMENT 04</w:t>
      </w:r>
    </w:p>
    <w:p>
      <w:pPr>
        <w:spacing w:after="120"/>
      </w:pPr>
      <w:r>
        <w:rPr>
          <w:b/>
          <w:bCs/>
          <w:color w:val="17202A"/>
          <w:sz w:val="52"/>
          <w:szCs w:val="52"/>
        </w:rPr>
        <w:t xml:space="preserve">Data Model and Contracts</w:t>
      </w:r>
    </w:p>
    <w:p>
      <w:pPr>
        <w:spacing w:after="160"/>
      </w:pPr>
      <w:r>
        <w:rPr>
          <w:color w:val="5B6573"/>
          <w:sz w:val="24"/>
          <w:szCs w:val="24"/>
        </w:rPr>
        <w:t xml:space="preserve">Manifest, canonical schemas, tables, ledger, generator contract and metric dictionary.</w:t>
      </w:r>
    </w:p>
    <w:p>
      <w:pPr>
        <w:pBdr>
          <w:bottom w:val="single" w:color="2C58CF" w:sz="8" w:space="10"/>
        </w:pBdr>
        <w:spacing w:after="320"/>
      </w:pPr>
      <w:r>
        <w:rPr>
          <w:color w:val="5B6573"/>
          <w:sz w:val="18"/>
          <w:szCs w:val="18"/>
        </w:rPr>
        <w:t xml:space="preserve">Version 0.1 (draft)  ·  28 September 2026  ·  Prepared for the HOWL tech team  ·  First brand: Ampere</w:t>
      </w:r>
    </w:p>
    <w:p>
      <w:pPr>
        <w:spacing w:after="200" w:line="300"/>
      </w:pPr>
      <w:r>
        <w:rPr>
          <w:color w:val="5B6573"/>
          <w:sz w:val="24"/>
          <w:szCs w:val="24"/>
        </w:rPr>
        <w:t xml:space="preserve">The shapes every part of the platform agrees on: the brand manifest, the canonical schemas, the database tables, the decision ledger, the generator contract and the metric dictionary. Write these first (Phase 0); everything else plugs into them.</w:t>
      </w:r>
    </w:p>
    <w:p>
      <w:pPr>
        <w:pStyle w:val="Heading1"/>
        <w:spacing w:after="160" w:before="360"/>
      </w:pPr>
      <w:r>
        <w:t xml:space="preserve">1. Brand manifest</w:t>
      </w:r>
    </w:p>
    <w:p>
      <w:pPr>
        <w:spacing w:after="140" w:line="288"/>
      </w:pPr>
      <w:r>
        <w:t xml:space="preserve">One JSON document per brand, stored in the repo (</w:t>
      </w:r>
      <w:r>
        <w:rPr>
          <w:rFonts w:ascii="Consolas" w:cs="Consolas" w:eastAsia="Consolas" w:hAnsi="Consolas"/>
          <w:sz w:val="20"/>
          <w:szCs w:val="20"/>
        </w:rPr>
        <w:t xml:space="preserve">manifests/ampere.json</w:t>
      </w:r>
      <w:r>
        <w:t xml:space="preserve">) and loaded into the </w:t>
      </w:r>
      <w:r>
        <w:rPr>
          <w:rFonts w:ascii="Consolas" w:cs="Consolas" w:eastAsia="Consolas" w:hAnsi="Consolas"/>
          <w:sz w:val="20"/>
          <w:szCs w:val="20"/>
        </w:rPr>
        <w:t xml:space="preserve">brands</w:t>
      </w:r>
      <w:r>
        <w:t xml:space="preserve"> table. It is validated against a JSON Schema on every load, so a typo fails loudly instead of silently changing a report.</w:t>
      </w:r>
    </w:p>
    <w:p>
      <w:pPr>
        <w:pStyle w:val="Heading2"/>
        <w:spacing w:after="120" w:before="280"/>
      </w:pPr>
      <w:r>
        <w:t xml:space="preserve">Static half (written at onboarding)</w:t>
      </w:r>
    </w:p>
    <w:p>
      <w:pPr>
        <w:pBdr>
          <w:left w:val="single" w:color="C8CFD9" w:sz="12" w:space="6"/>
        </w:pBdr>
        <w:shd w:fill="F3F5F8" w:color="auto" w:val="clear"/>
        <w:spacing w:after="0" w:before="60" w:line="240"/>
        <w:ind w:left="120" w:right="120"/>
      </w:pPr>
      <w:r>
        <w:rPr>
          <w:rFonts w:ascii="Consolas" w:cs="Consolas" w:eastAsia="Consolas" w:hAnsi="Consolas"/>
          <w:color w:val="17202A"/>
          <w:sz w:val="17"/>
          <w:szCs w:val="17"/>
        </w:rPr>
        <w:t xml:space="preserv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"brand_id": "ampere",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"manifest_version": 1,</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"identity":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"display_name": "Ampere",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"palette": ["1C2321", "4E8C2B"],</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"fonts": { "heading": "Arial", "body": "Arial"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"logo_ref": "drive://HOWL/Ampere/brand/logo.png",</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"templates": { "pptx": "drive://HOWL/Ampere/brand/template.pptx"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"voice": "concise, declarative"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"sources":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 "source_id": "ampere-gsc",</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"channel": "google_search_console", "domain": "search",</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"mode": "csv", "account_ref": "ampere-electric.com",</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"schema_ref": "search_v1", "cadence": "monthly",</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"currency": null, "timezone": "Asia/Kolkata", "auth_status": "n/a"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 "source_id": "ampere-meta-ads",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"channel": "meta_ads", "domain": "paid",</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"mode": "windsor_api", "account_ref": "act_XXXX",</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"schema_ref": "paid_v2", "cadence": "daily",</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"currency": "INR", "timezone": "Asia/Kolkata", "auth_status": "active"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"deliverables": ["gsc_organic_report", "paid_social_report",</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"engagement_rate_report"],</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"review": { "sheet_ref": "gsheet://&lt;id&gt;", "blocking_share": 0.02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w:t>
      </w:r>
    </w:p>
    <w:p>
      <w:pPr>
        <w:spacing w:after="100"/>
      </w:pPr>
    </w:p>
    <w:p>
      <w:pPr>
        <w:spacing w:after="140" w:line="288"/>
      </w:pPr>
      <w:r>
        <w:t xml:space="preserve">Changes from the spec: </w:t>
      </w:r>
      <w:r>
        <w:rPr>
          <w:rFonts w:ascii="Consolas" w:cs="Consolas" w:eastAsia="Consolas" w:hAnsi="Consolas"/>
          <w:sz w:val="20"/>
          <w:szCs w:val="20"/>
        </w:rPr>
        <w:t xml:space="preserve">canonical_store</w:t>
      </w:r>
      <w:r>
        <w:t xml:space="preserve"> is removed (the store is Postgres, keyed by </w:t>
      </w:r>
      <w:r>
        <w:rPr>
          <w:rFonts w:ascii="Consolas" w:cs="Consolas" w:eastAsia="Consolas" w:hAnsi="Consolas"/>
          <w:sz w:val="20"/>
          <w:szCs w:val="20"/>
        </w:rPr>
        <w:t xml:space="preserve">brand_id</w:t>
      </w:r>
      <w:r>
        <w:t xml:space="preserve">); </w:t>
      </w:r>
      <w:r>
        <w:rPr>
          <w:rFonts w:ascii="Consolas" w:cs="Consolas" w:eastAsia="Consolas" w:hAnsi="Consolas"/>
          <w:sz w:val="20"/>
          <w:szCs w:val="20"/>
        </w:rPr>
        <w:t xml:space="preserve">source_id</w:t>
      </w:r>
      <w:r>
        <w:t xml:space="preserve">, </w:t>
      </w:r>
      <w:r>
        <w:rPr>
          <w:rFonts w:ascii="Consolas" w:cs="Consolas" w:eastAsia="Consolas" w:hAnsi="Consolas"/>
          <w:sz w:val="20"/>
          <w:szCs w:val="20"/>
        </w:rPr>
        <w:t xml:space="preserve">currency</w:t>
      </w:r>
      <w:r>
        <w:t xml:space="preserve">, </w:t>
      </w:r>
      <w:r>
        <w:rPr>
          <w:rFonts w:ascii="Consolas" w:cs="Consolas" w:eastAsia="Consolas" w:hAnsi="Consolas"/>
          <w:sz w:val="20"/>
          <w:szCs w:val="20"/>
        </w:rPr>
        <w:t xml:space="preserve">timezone</w:t>
      </w:r>
      <w:r>
        <w:t xml:space="preserve">, </w:t>
      </w:r>
      <w:r>
        <w:rPr>
          <w:rFonts w:ascii="Consolas" w:cs="Consolas" w:eastAsia="Consolas" w:hAnsi="Consolas"/>
          <w:sz w:val="20"/>
          <w:szCs w:val="20"/>
        </w:rPr>
        <w:t xml:space="preserve">logo_ref</w:t>
      </w:r>
      <w:r>
        <w:t xml:space="preserve">, </w:t>
      </w:r>
      <w:r>
        <w:rPr>
          <w:rFonts w:ascii="Consolas" w:cs="Consolas" w:eastAsia="Consolas" w:hAnsi="Consolas"/>
          <w:sz w:val="20"/>
          <w:szCs w:val="20"/>
        </w:rPr>
        <w:t xml:space="preserve">templates</w:t>
      </w:r>
      <w:r>
        <w:t xml:space="preserve"> and a </w:t>
      </w:r>
      <w:r>
        <w:rPr>
          <w:rFonts w:ascii="Consolas" w:cs="Consolas" w:eastAsia="Consolas" w:hAnsi="Consolas"/>
          <w:sz w:val="20"/>
          <w:szCs w:val="20"/>
        </w:rPr>
        <w:t xml:space="preserve">review</w:t>
      </w:r>
      <w:r>
        <w:t xml:space="preserve"> block are added.</w:t>
      </w:r>
    </w:p>
    <w:p>
      <w:pPr>
        <w:pStyle w:val="Heading2"/>
        <w:spacing w:after="120" w:before="280"/>
      </w:pPr>
      <w:r>
        <w:t xml:space="preserve">Learned half (grown from reviews)</w:t>
      </w:r>
    </w:p>
    <w:p>
      <w:pPr>
        <w:pBdr>
          <w:left w:val="single" w:color="C8CFD9" w:sz="12" w:space="6"/>
        </w:pBdr>
        <w:shd w:fill="F3F5F8" w:color="auto" w:val="clear"/>
        <w:spacing w:after="0" w:before="60" w:line="240"/>
        <w:ind w:left="120" w:right="120"/>
      </w:pPr>
      <w:r>
        <w:rPr>
          <w:rFonts w:ascii="Consolas" w:cs="Consolas" w:eastAsia="Consolas" w:hAnsi="Consolas"/>
          <w:color w:val="17202A"/>
          <w:sz w:val="17"/>
          <w:szCs w:val="17"/>
        </w:rPr>
        <w:t xml:space="preserv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"variant_lists": { "misspellings": ["amper", "ampaire", "ampair", "amber", "empire"]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"product_roster":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"tagged": ["Magnus", "Magnus G Max", "Magnus Neo", "Nexus", "Reo", "Reo Vyb"],</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"branded_untagged": ["Primus", "Zeal"]</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"launch_calendar":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 "date": "2026-08-01", "product": "Magnus G Max", "activity": "awareness"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 "date": "2026-08-01", "product": "Reo Vyb", "activity": "lead_gen"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"rules":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 "domain": "search", "match": "regex", "pattern": "\\b(price|cost)\\b", "tag": "generic_theme=pricing"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w:t>
      </w:r>
    </w:p>
    <w:p>
      <w:pPr>
        <w:spacing w:after="100"/>
      </w:pPr>
    </w:p>
    <w:p>
      <w:pPr>
        <w:pBdr>
          <w:left w:val="single" w:color="B06A0E" w:sz="24" w:space="8"/>
        </w:pBdr>
        <w:shd w:fill="FBF0E1" w:color="auto" w:val="clear"/>
        <w:spacing w:after="200" w:before="120" w:line="280"/>
        <w:ind w:left="160" w:right="160"/>
      </w:pPr>
      <w:r>
        <w:rPr>
          <w:sz w:val="21"/>
          <w:szCs w:val="21"/>
        </w:rPr>
        <w:t xml:space="preserve">Note: "amber" and "empire" are real words. Treat them as misspellings only when they appear together with a product or category term, or they will mis-tag unrelated queries. This is exactly the kind of case the review queue should settle once.</w:t>
      </w:r>
    </w:p>
    <w:p>
      <w:pPr>
        <w:pStyle w:val="Heading1"/>
        <w:spacing w:after="160" w:before="360"/>
      </w:pPr>
      <w:r>
        <w:t xml:space="preserve">2. Canonical schemas</w:t>
      </w:r>
    </w:p>
    <w:p>
      <w:pPr>
        <w:spacing w:after="140" w:line="288"/>
      </w:pPr>
      <w:r>
        <w:t xml:space="preserve">One shape per domain. Every canonical table also carries the lineage columns </w:t>
      </w:r>
      <w:r>
        <w:rPr>
          <w:rFonts w:ascii="Consolas" w:cs="Consolas" w:eastAsia="Consolas" w:hAnsi="Consolas"/>
          <w:sz w:val="20"/>
          <w:szCs w:val="20"/>
        </w:rPr>
        <w:t xml:space="preserve">brand_id</w:t>
      </w:r>
      <w:r>
        <w:t xml:space="preserve">, </w:t>
      </w:r>
      <w:r>
        <w:rPr>
          <w:rFonts w:ascii="Consolas" w:cs="Consolas" w:eastAsia="Consolas" w:hAnsi="Consolas"/>
          <w:sz w:val="20"/>
          <w:szCs w:val="20"/>
        </w:rPr>
        <w:t xml:space="preserve">source_id</w:t>
      </w:r>
      <w:r>
        <w:t xml:space="preserve">, </w:t>
      </w:r>
      <w:r>
        <w:rPr>
          <w:rFonts w:ascii="Consolas" w:cs="Consolas" w:eastAsia="Consolas" w:hAnsi="Consolas"/>
          <w:sz w:val="20"/>
          <w:szCs w:val="20"/>
        </w:rPr>
        <w:t xml:space="preserve">run_id</w:t>
      </w:r>
      <w:r>
        <w:t xml:space="preserve"> and </w:t>
      </w:r>
      <w:r>
        <w:rPr>
          <w:rFonts w:ascii="Consolas" w:cs="Consolas" w:eastAsia="Consolas" w:hAnsi="Consolas"/>
          <w:sz w:val="20"/>
          <w:szCs w:val="20"/>
        </w:rPr>
        <w:t xml:space="preserve">ingested_at</w:t>
      </w:r>
      <w:r>
        <w:t xml:space="preserve">. The unique key decides what counts as "the same row" for upserts.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7"/>
        <w:gridCol w:w="4945"/>
        <w:gridCol w:w="2474"/>
      </w:tblGrid>
      <w:tr>
        <w:trPr>
          <w:tblHeader/>
        </w:trPr>
        <w:tc>
          <w:tcPr>
            <w:tcW w:type="dxa" w:w="1607"/>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Domain / version</w:t>
            </w:r>
          </w:p>
        </w:tc>
        <w:tc>
          <w:tcPr>
            <w:tcW w:type="dxa" w:w="4945"/>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Columns</w:t>
            </w:r>
          </w:p>
        </w:tc>
        <w:tc>
          <w:tcPr>
            <w:tcW w:type="dxa" w:w="2474"/>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Unique key</w:t>
            </w:r>
          </w:p>
        </w:tc>
      </w:tr>
      <w:tr>
        <w:trPr>
          <w:cantSplit/>
        </w:trPr>
        <w:tc>
          <w:tcPr>
            <w:tcW w:type="dxa" w:w="16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search_v1</w:t>
            </w:r>
          </w:p>
        </w:tc>
        <w:tc>
          <w:tcPr>
            <w:tcW w:type="dxa" w:w="494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period, query, page (optional), impressions, clicks, ctr, position, is_branded, brand_form, product, generic_theme, needs_review, tag_source</w:t>
            </w:r>
          </w:p>
        </w:tc>
        <w:tc>
          <w:tcPr>
            <w:tcW w:type="dxa" w:w="247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 period, query, page</w:t>
            </w:r>
          </w:p>
        </w:tc>
      </w:tr>
      <w:tr>
        <w:trPr>
          <w:cantSplit/>
        </w:trPr>
        <w:tc>
          <w:tcPr>
            <w:tcW w:type="dxa" w:w="16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paid_v2</w:t>
            </w:r>
          </w:p>
        </w:tc>
        <w:tc>
          <w:tcPr>
            <w:tcW w:type="dxa" w:w="494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date, channel, campaign, adset, ad, spend, currency, impressions, reach, clicks, engagements, video_views, conversions, revenue, utm_source, utm_medium, utm_campaign, utm_content, is_boosted_post</w:t>
            </w:r>
          </w:p>
        </w:tc>
        <w:tc>
          <w:tcPr>
            <w:tcW w:type="dxa" w:w="247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 date, channel, campaign, adset, ad</w:t>
            </w:r>
          </w:p>
        </w:tc>
      </w:tr>
      <w:tr>
        <w:trPr>
          <w:cantSplit/>
        </w:trPr>
        <w:tc>
          <w:tcPr>
            <w:tcW w:type="dxa" w:w="16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organic_v1</w:t>
            </w:r>
          </w:p>
        </w:tc>
        <w:tc>
          <w:tcPr>
            <w:tcW w:type="dxa" w:w="494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date, channel, post_id, post_type, published_at, reach, impressions, engagements, video_views, followers</w:t>
            </w:r>
          </w:p>
        </w:tc>
        <w:tc>
          <w:tcPr>
            <w:tcW w:type="dxa" w:w="247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 date, channel, post_id</w:t>
            </w:r>
          </w:p>
        </w:tc>
      </w:tr>
      <w:tr>
        <w:trPr>
          <w:cantSplit/>
        </w:trPr>
        <w:tc>
          <w:tcPr>
            <w:tcW w:type="dxa" w:w="16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web_v1</w:t>
            </w:r>
          </w:p>
        </w:tc>
        <w:tc>
          <w:tcPr>
            <w:tcW w:type="dxa" w:w="494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date, source, medium, campaign, landing_page, sessions, engaged_sessions, users, conversions</w:t>
            </w:r>
          </w:p>
        </w:tc>
        <w:tc>
          <w:tcPr>
            <w:tcW w:type="dxa" w:w="247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 date, source, medium, campaign, landing_page</w:t>
            </w:r>
          </w:p>
        </w:tc>
      </w:tr>
      <w:tr>
        <w:trPr>
          <w:cantSplit/>
        </w:trPr>
        <w:tc>
          <w:tcPr>
            <w:tcW w:type="dxa" w:w="16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crm_v1</w:t>
            </w:r>
          </w:p>
        </w:tc>
        <w:tc>
          <w:tcPr>
            <w:tcW w:type="dxa" w:w="494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date, lead_id (hashed), stage, source, campaign, value, currency, status</w:t>
            </w:r>
          </w:p>
        </w:tc>
        <w:tc>
          <w:tcPr>
            <w:tcW w:type="dxa" w:w="247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 lead_id, stage</w:t>
            </w:r>
          </w:p>
        </w:tc>
      </w:tr>
      <w:tr>
        <w:trPr>
          <w:cantSplit/>
        </w:trPr>
        <w:tc>
          <w:tcPr>
            <w:tcW w:type="dxa" w:w="16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plan_v1</w:t>
            </w:r>
          </w:p>
        </w:tc>
        <w:tc>
          <w:tcPr>
            <w:tcW w:type="dxa" w:w="4945"/>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plan_id, campaign, adset, ad, utm_*, planned_spend, planned_impressions, start_date, end_date</w:t>
            </w:r>
          </w:p>
        </w:tc>
        <w:tc>
          <w:tcPr>
            <w:tcW w:type="dxa" w:w="2474"/>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 plan_id, campaign, adset, ad</w:t>
            </w:r>
          </w:p>
        </w:tc>
      </w:tr>
    </w:tbl>
    <w:p>
      <w:pPr>
        <w:pStyle w:val="Heading2"/>
        <w:spacing w:after="120" w:before="280"/>
      </w:pPr>
      <w:r>
        <w:t xml:space="preserve">Versioning rules</w:t>
      </w:r>
    </w:p>
    <w:p>
      <w:pPr>
        <w:pStyle w:val="ListParagraph"/>
        <w:numPr>
          <w:ilvl w:val="0"/>
          <w:numId w:val="2"/>
        </w:numPr>
        <w:spacing w:after="80" w:line="276"/>
      </w:pPr>
      <w:r>
        <w:t xml:space="preserve">Adding a column creates a new version (</w:t>
      </w:r>
      <w:r>
        <w:rPr>
          <w:rFonts w:ascii="Consolas" w:cs="Consolas" w:eastAsia="Consolas" w:hAnsi="Consolas"/>
          <w:sz w:val="20"/>
          <w:szCs w:val="20"/>
        </w:rPr>
        <w:t xml:space="preserve">paid_v1</w:t>
      </w:r>
      <w:r>
        <w:t xml:space="preserve"> → </w:t>
      </w:r>
      <w:r>
        <w:rPr>
          <w:rFonts w:ascii="Consolas" w:cs="Consolas" w:eastAsia="Consolas" w:hAnsi="Consolas"/>
          <w:sz w:val="20"/>
          <w:szCs w:val="20"/>
        </w:rPr>
        <w:t xml:space="preserve">paid_v2</w:t>
      </w:r>
      <w:r>
        <w:t xml:space="preserve">). New columns are nullable, so older adapters keep working.</w:t>
      </w:r>
    </w:p>
    <w:p>
      <w:pPr>
        <w:pStyle w:val="ListParagraph"/>
        <w:numPr>
          <w:ilvl w:val="0"/>
          <w:numId w:val="2"/>
        </w:numPr>
        <w:spacing w:after="80" w:line="276"/>
      </w:pPr>
      <w:r>
        <w:t xml:space="preserve">Columns are never renamed or removed within a major version.</w:t>
      </w:r>
    </w:p>
    <w:p>
      <w:pPr>
        <w:pStyle w:val="ListParagraph"/>
        <w:numPr>
          <w:ilvl w:val="0"/>
          <w:numId w:val="2"/>
        </w:numPr>
        <w:spacing w:after="80" w:line="276"/>
      </w:pPr>
      <w:r>
        <w:t xml:space="preserve">A source's </w:t>
      </w:r>
      <w:r>
        <w:rPr>
          <w:rFonts w:ascii="Consolas" w:cs="Consolas" w:eastAsia="Consolas" w:hAnsi="Consolas"/>
          <w:sz w:val="20"/>
          <w:szCs w:val="20"/>
        </w:rPr>
        <w:t xml:space="preserve">schema_ref</w:t>
      </w:r>
      <w:r>
        <w:t xml:space="preserve"> says which version its adapter writes.</w:t>
      </w:r>
    </w:p>
    <w:p>
      <w:pPr>
        <w:pStyle w:val="ListParagraph"/>
        <w:numPr>
          <w:ilvl w:val="0"/>
          <w:numId w:val="2"/>
        </w:numPr>
        <w:spacing w:after="80" w:line="276"/>
      </w:pPr>
      <w:r>
        <w:rPr>
          <w:rFonts w:ascii="Consolas" w:cs="Consolas" w:eastAsia="Consolas" w:hAnsi="Consolas"/>
          <w:sz w:val="20"/>
          <w:szCs w:val="20"/>
        </w:rPr>
        <w:t xml:space="preserve">paid_v2</w:t>
      </w:r>
      <w:r>
        <w:t xml:space="preserve"> exists because the engagement-rate report needed </w:t>
      </w:r>
      <w:r>
        <w:rPr>
          <w:rFonts w:ascii="Consolas" w:cs="Consolas" w:eastAsia="Consolas" w:hAnsi="Consolas"/>
          <w:sz w:val="20"/>
          <w:szCs w:val="20"/>
        </w:rPr>
        <w:t xml:space="preserve">engagements</w:t>
      </w:r>
      <w:r>
        <w:t xml:space="preserve">, </w:t>
      </w:r>
      <w:r>
        <w:rPr>
          <w:rFonts w:ascii="Consolas" w:cs="Consolas" w:eastAsia="Consolas" w:hAnsi="Consolas"/>
          <w:sz w:val="20"/>
          <w:szCs w:val="20"/>
        </w:rPr>
        <w:t xml:space="preserve">reach</w:t>
      </w:r>
      <w:r>
        <w:t xml:space="preserve">, </w:t>
      </w:r>
      <w:r>
        <w:rPr>
          <w:rFonts w:ascii="Consolas" w:cs="Consolas" w:eastAsia="Consolas" w:hAnsi="Consolas"/>
          <w:sz w:val="20"/>
          <w:szCs w:val="20"/>
        </w:rPr>
        <w:t xml:space="preserve">video_views</w:t>
      </w:r>
      <w:r>
        <w:t xml:space="preserve"> and </w:t>
      </w:r>
      <w:r>
        <w:rPr>
          <w:rFonts w:ascii="Consolas" w:cs="Consolas" w:eastAsia="Consolas" w:hAnsi="Consolas"/>
          <w:sz w:val="20"/>
          <w:szCs w:val="20"/>
        </w:rPr>
        <w:t xml:space="preserve">is_boosted_post</w:t>
      </w:r>
      <w:r>
        <w:t xml:space="preserve">, which the spec's </w:t>
      </w:r>
      <w:r>
        <w:rPr>
          <w:rFonts w:ascii="Consolas" w:cs="Consolas" w:eastAsia="Consolas" w:hAnsi="Consolas"/>
          <w:sz w:val="20"/>
          <w:szCs w:val="20"/>
        </w:rPr>
        <w:t xml:space="preserve">paid</w:t>
      </w:r>
      <w:r>
        <w:t xml:space="preserve"> schema lacked.</w:t>
      </w:r>
    </w:p>
    <w:p>
      <w:pPr>
        <w:pStyle w:val="Heading2"/>
        <w:spacing w:after="120" w:before="280"/>
      </w:pPr>
      <w:r>
        <w:t xml:space="preserve">Late-arriving data</w:t>
      </w:r>
    </w:p>
    <w:p>
      <w:pPr>
        <w:spacing w:after="140" w:line="288"/>
      </w:pPr>
      <w:r>
        <w:t xml:space="preserve">Platforms revise recent numbers. Each source re-pulls a window on every run and upserts over it: Meta Ads 28 days, Google Ads 14 days, LinkedIn Ads 14 days, Search Console 3 days, GA4 3 days. Tune these once real revision patterns are observed.</w:t>
      </w:r>
    </w:p>
    <w:p>
      <w:pPr>
        <w:pStyle w:val="Heading1"/>
        <w:spacing w:after="160" w:before="360"/>
      </w:pPr>
      <w:r>
        <w:t xml:space="preserve">3.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7"/>
        <w:gridCol w:w="3049"/>
        <w:gridCol w:w="4270"/>
      </w:tblGrid>
      <w:tr>
        <w:trPr>
          <w:tblHeader/>
        </w:trPr>
        <w:tc>
          <w:tcPr>
            <w:tcW w:type="dxa" w:w="1707"/>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Table</w:t>
            </w:r>
          </w:p>
        </w:tc>
        <w:tc>
          <w:tcPr>
            <w:tcW w:type="dxa" w:w="3049"/>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Purpose</w:t>
            </w:r>
          </w:p>
        </w:tc>
        <w:tc>
          <w:tcPr>
            <w:tcW w:type="dxa" w:w="4270"/>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Key columns</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brands</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manifest (static and learned halves) per brand</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 manifest jsonb, learned jsonb, manifest_version</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sources</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One row per brand source, mirrored from the manifest</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source_id, brand_id, channel, domain, mode, schema_ref, auth_status</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runs</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One row per run with its current stage and status</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run_id, brand_id, deliverable, period, status, stage, started_at, row_counts jsonb</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raw_files</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Every raw file received, unchanged</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file_id, source_id, run_id, sha256, storage_ref, received_at</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canonical_&lt;domain&gt;</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Normalized rows per domain (search, paid, organic, web, crm, plan)</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See section 2</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review_items</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Items waiting for a person</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item_id, brand_id, run_id, entity_type, entity_key, impact, reason, suggestion, status</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decision_ledger</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Every decision, append-only</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See section 4</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ai_labels</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Cache of AI answers</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 entity_type, entity_key, prompt_version, model, label, confidence, created_at</w:t>
            </w:r>
          </w:p>
        </w:tc>
      </w:tr>
      <w:tr>
        <w:trPr>
          <w:cantSplit/>
        </w:trPr>
        <w:tc>
          <w:tcPr>
            <w:tcW w:type="dxa" w:w="1707"/>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outputs</w:t>
            </w:r>
          </w:p>
        </w:tc>
        <w:tc>
          <w:tcPr>
            <w:tcW w:type="dxa" w:w="3049"/>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Every draft produced and where it went</w:t>
            </w:r>
          </w:p>
        </w:tc>
        <w:tc>
          <w:tcPr>
            <w:tcW w:type="dxa" w:w="4270"/>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output_id, run_id, generator, generator_version, file_ref, delivered_to</w:t>
            </w:r>
          </w:p>
        </w:tc>
      </w:tr>
    </w:tbl>
    <w:p>
      <w:pPr>
        <w:pStyle w:val="Heading1"/>
        <w:spacing w:after="160" w:before="360"/>
      </w:pPr>
      <w:r>
        <w:t xml:space="preserve">4. Decision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2"/>
        <w:gridCol w:w="1432"/>
        <w:gridCol w:w="5732"/>
      </w:tblGrid>
      <w:tr>
        <w:trPr>
          <w:tblHeader/>
        </w:trPr>
        <w:tc>
          <w:tcPr>
            <w:tcW w:type="dxa" w:w="1862"/>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Field</w:t>
            </w:r>
          </w:p>
        </w:tc>
        <w:tc>
          <w:tcPr>
            <w:tcW w:type="dxa" w:w="1432"/>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Type</w:t>
            </w:r>
          </w:p>
        </w:tc>
        <w:tc>
          <w:tcPr>
            <w:tcW w:type="dxa" w:w="5732"/>
            <w:tcBorders>
              <w:top w:val="single" w:color="C8CFD9" w:sz="4"/>
              <w:left w:val="single" w:color="C8CFD9" w:sz="4"/>
              <w:bottom w:val="single" w:color="C8CFD9" w:sz="4"/>
              <w:right w:val="single" w:color="C8CFD9" w:sz="4"/>
            </w:tcBorders>
            <w:shd w:fill="EDF1F9" w:color="auto" w:val="clear"/>
            <w:tcMar>
              <w:top w:type="dxa" w:w="70"/>
              <w:left w:type="dxa" w:w="110"/>
              <w:bottom w:type="dxa" w:w="70"/>
              <w:right w:type="dxa" w:w="110"/>
            </w:tcMar>
          </w:tcPr>
          <w:p>
            <w:pPr>
              <w:spacing w:after="30" w:line="250"/>
            </w:pPr>
            <w:r>
              <w:rPr>
                <w:b/>
                <w:bCs/>
                <w:color w:val="17202A"/>
                <w:sz w:val="19"/>
                <w:szCs w:val="19"/>
              </w:rPr>
              <w:t xml:space="preserve">Notes</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decision_id</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uuid</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Primary key</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brand_id</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text</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entity_type</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text</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query, campaign, post, record, file</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entity_key</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text</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Normalized: lower-case, trimmed, single spaces</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decision</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text</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reclassify, fix, exclude, ignore</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value</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jsonb</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The tag or correction, e.g. {"is_branded": true, "product": "Reo Vyb"}</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reason</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text</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Short free text; required for exclude</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supersedes</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uuid</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Earlier decision this replaces, if any</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decided_by</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text</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Person's email</w:t>
            </w:r>
          </w:p>
        </w:tc>
      </w:tr>
      <w:tr>
        <w:trPr>
          <w:cantSplit/>
        </w:trPr>
        <w:tc>
          <w:tcPr>
            <w:tcW w:type="dxa" w:w="186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decided_at</w:t>
            </w:r>
          </w:p>
        </w:tc>
        <w:tc>
          <w:tcPr>
            <w:tcW w:type="dxa" w:w="14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r>
              <w:rPr>
                <w:sz w:val="19"/>
                <w:szCs w:val="19"/>
              </w:rPr>
              <w:t xml:space="preserve">timestamptz</w:t>
            </w:r>
          </w:p>
        </w:tc>
        <w:tc>
          <w:tcPr>
            <w:tcW w:type="dxa" w:w="5732"/>
            <w:tcBorders>
              <w:top w:val="single" w:color="C8CFD9" w:sz="4"/>
              <w:left w:val="single" w:color="C8CFD9" w:sz="4"/>
              <w:bottom w:val="single" w:color="C8CFD9" w:sz="4"/>
              <w:right w:val="single" w:color="C8CFD9" w:sz="4"/>
            </w:tcBorders>
            <w:tcMar>
              <w:top w:type="dxa" w:w="70"/>
              <w:left w:type="dxa" w:w="110"/>
              <w:bottom w:type="dxa" w:w="70"/>
              <w:right w:type="dxa" w:w="110"/>
            </w:tcMar>
          </w:tcPr>
          <w:p>
            <w:pPr>
              <w:spacing w:after="30" w:line="250"/>
            </w:pPr>
          </w:p>
        </w:tc>
      </w:tr>
    </w:tbl>
    <w:p>
      <w:pPr>
        <w:spacing w:after="140" w:line="288"/>
      </w:pPr>
      <w:r>
        <w:t xml:space="preserve">The ledger is shared across brands but always queried by </w:t>
      </w:r>
      <w:r>
        <w:rPr>
          <w:rFonts w:ascii="Consolas" w:cs="Consolas" w:eastAsia="Consolas" w:hAnsi="Consolas"/>
          <w:sz w:val="20"/>
          <w:szCs w:val="20"/>
        </w:rPr>
        <w:t xml:space="preserve">brand_id</w:t>
      </w:r>
      <w:r>
        <w:t xml:space="preserve">. The current decision for an entity is the latest one not superseded by another.</w:t>
      </w:r>
    </w:p>
    <w:p>
      <w:pPr>
        <w:pStyle w:val="Heading1"/>
        <w:spacing w:after="160" w:before="360"/>
      </w:pPr>
      <w:r>
        <w:t xml:space="preserve">5. Generator contract</w:t>
      </w:r>
    </w:p>
    <w:p>
      <w:pPr>
        <w:spacing w:after="140" w:line="288"/>
      </w:pPr>
      <w:r>
        <w:t xml:space="preserve">Every generator declares what it needs and what it makes. The platform reads the declaration to check a brand is ready before running, and to build the right ingestion plan.</w:t>
      </w:r>
    </w:p>
    <w:p>
      <w:pPr>
        <w:pBdr>
          <w:left w:val="single" w:color="C8CFD9" w:sz="12" w:space="6"/>
        </w:pBdr>
        <w:shd w:fill="F3F5F8" w:color="auto" w:val="clear"/>
        <w:spacing w:after="0" w:before="60" w:line="240"/>
        <w:ind w:left="120" w:right="120"/>
      </w:pPr>
      <w:r>
        <w:rPr>
          <w:rFonts w:ascii="Consolas" w:cs="Consolas" w:eastAsia="Consolas" w:hAnsi="Consolas"/>
          <w:color w:val="17202A"/>
          <w:sz w:val="17"/>
          <w:szCs w:val="17"/>
        </w:rPr>
        <w:t xml:space="preserve">from dataclasses import dataclass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@dataclass(frozen=True)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class Requirement:</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domain: str                # "paid"</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min_version: str           # "paid_v2"</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columns: tuple[str, ...]   # ("impressions", "engagements")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@dataclass(frozen=True)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class GeneratorSpec:</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name: str                  # "engagement_rate_report"</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version: str               # "1.0.0"</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requires: tuple[Requirement,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outputs: tuple[str, ...]   # ("xlsx",)</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blocking_checks: tuple[str, ...]   # ("rate_over_100", "vs_platform_totals")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uses_narrative: bool = False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class Generator:</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spec: GeneratorSpec</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def build(self, brand, period, data, out_dir) -&gt; list[str]:</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"""Read only from `data` (canonical rows) and `brand` (manifest).</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Return the paths of the files written. Must be deterministic."""</w:t>
      </w:r>
    </w:p>
    <w:p>
      <w:pPr>
        <w:spacing w:after="100"/>
      </w:pPr>
    </w:p>
    <w:p>
      <w:pPr>
        <w:spacing w:after="140" w:line="288"/>
      </w:pPr>
      <w:r>
        <w:t xml:space="preserve">Rules: a generator never reads a raw source, never writes to canonical tables, and produces the same output for the same inputs and version. Each generator has a golden-file test.</w:t>
      </w:r>
    </w:p>
    <w:p>
      <w:pPr>
        <w:pStyle w:val="Heading1"/>
        <w:spacing w:after="160" w:before="360"/>
      </w:pPr>
      <w:r>
        <w:t xml:space="preserve">6. Metric dictionary</w:t>
      </w:r>
    </w:p>
    <w:p>
      <w:pPr>
        <w:spacing w:after="140" w:line="288"/>
      </w:pPr>
      <w:r>
        <w:t xml:space="preserve">Each metric is defined once per platform in the manifest (or a shared default), so every report computes it the same way.</w:t>
      </w:r>
    </w:p>
    <w:p>
      <w:pPr>
        <w:pBdr>
          <w:left w:val="single" w:color="C8CFD9" w:sz="12" w:space="6"/>
        </w:pBdr>
        <w:shd w:fill="F3F5F8" w:color="auto" w:val="clear"/>
        <w:spacing w:after="0" w:before="60" w:line="240"/>
        <w:ind w:left="120" w:right="120"/>
      </w:pPr>
      <w:r>
        <w:rPr>
          <w:rFonts w:ascii="Consolas" w:cs="Consolas" w:eastAsia="Consolas" w:hAnsi="Consolas"/>
          <w:color w:val="17202A"/>
          <w:sz w:val="17"/>
          <w:szCs w:val="17"/>
        </w:rPr>
        <w:t xml:space="preserve">"metrics":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"engagement_rate":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"formula": "sum(engagements) / sum(impressions)",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"engagements":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"meta_ads":       "post_engagement",</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"instagram":      "likes + comments + shares + saves",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"facebook":       "reactions + comments + shares",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"youtube_ads":    "engagements",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"youtube":        "likes + comments + shares",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"linkedin_ads":   "total_engagements",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"linkedin":       "clicks + reactions + comments + shares"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"denominator": { "default": "impressions", "youtube": "views"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"aggregate": "ratio_of_sums",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"flag_if_above": 1.0</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w:t>
      </w:r>
    </w:p>
    <w:p>
      <w:pPr>
        <w:spacing w:after="100"/>
      </w:pPr>
    </w:p>
    <w:p>
      <w:pPr>
        <w:spacing w:after="140" w:line="288"/>
      </w:pPr>
      <w:r>
        <w:rPr>
          <w:rFonts w:ascii="Consolas" w:cs="Consolas" w:eastAsia="Consolas" w:hAnsi="Consolas"/>
          <w:sz w:val="20"/>
          <w:szCs w:val="20"/>
        </w:rPr>
        <w:t xml:space="preserve">ratio_of_sums</w:t>
      </w:r>
      <w:r>
        <w:t xml:space="preserve"> means averages across months are computed as total engagements divided by total impressions, never as an average of monthly percentages. Confirm the exact field names against the Windsor connector field lists before building.</w:t>
      </w:r>
    </w:p>
    <w:p>
      <w:pPr>
        <w:pStyle w:val="Heading1"/>
        <w:spacing w:after="160" w:before="360"/>
      </w:pPr>
      <w:r>
        <w:t xml:space="preserve">7. Drive folder layout</w:t>
      </w:r>
    </w:p>
    <w:p>
      <w:pPr>
        <w:pBdr>
          <w:left w:val="single" w:color="C8CFD9" w:sz="12" w:space="6"/>
        </w:pBdr>
        <w:shd w:fill="F3F5F8" w:color="auto" w:val="clear"/>
        <w:spacing w:after="0" w:before="60" w:line="240"/>
        <w:ind w:left="120" w:right="120"/>
      </w:pPr>
      <w:r>
        <w:rPr>
          <w:rFonts w:ascii="Consolas" w:cs="Consolas" w:eastAsia="Consolas" w:hAnsi="Consolas"/>
          <w:color w:val="17202A"/>
          <w:sz w:val="17"/>
          <w:szCs w:val="17"/>
        </w:rPr>
        <w:t xml:space="preserve">HOWL/</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Ampere/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brand/            logo, templates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inbox/</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google_search_console/   drop CSV exports here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meta_business_suite/</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outputs/</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gsc_organic_report/2026-08/</w:t>
      </w:r>
    </w:p>
    <w:p>
      <w:pPr>
        <w:pBdr>
          <w:left w:val="single" w:color="C8CFD9" w:sz="12" w:space="6"/>
        </w:pBdr>
        <w:shd w:fill="F3F5F8" w:color="auto" w:val="clear"/>
        <w:spacing w:after="0" w:before="0" w:line="240"/>
        <w:ind w:left="120" w:right="120"/>
      </w:pPr>
      <w:r>
        <w:rPr>
          <w:rFonts w:ascii="Consolas" w:cs="Consolas" w:eastAsia="Consolas" w:hAnsi="Consolas"/>
          <w:color w:val="17202A"/>
          <w:sz w:val="17"/>
          <w:szCs w:val="17"/>
        </w:rPr>
        <w:t xml:space="preserve">    review/           the brand's review Sheet</w:t>
      </w:r>
    </w:p>
    <w:p>
      <w:pPr>
        <w:spacing w:after="10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HOWL Platform · Data Model and Contracts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7202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C58CF"/>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720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and Contracts</dc:title>
  <dc:creator>HOWL tech</dc:creator>
  <dc:description>Manifest, canonical schemas, tables, ledger, generator contract and metric dictionary.</dc:description>
  <cp:lastModifiedBy>Un-named</cp:lastModifiedBy>
  <cp:revision>1</cp:revision>
  <dcterms:created xsi:type="dcterms:W3CDTF">2026-09-27T20:19:10.230Z</dcterms:created>
  <dcterms:modified xsi:type="dcterms:W3CDTF">2026-09-27T20:19:10.230Z</dcterms:modified>
</cp:coreProperties>
</file>

<file path=docProps/custom.xml><?xml version="1.0" encoding="utf-8"?>
<Properties xmlns="http://schemas.openxmlformats.org/officeDocument/2006/custom-properties" xmlns:vt="http://schemas.openxmlformats.org/officeDocument/2006/docPropsVTypes"/>
</file>