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C58CF"/>
          <w:spacing w:val="40"/>
          <w:sz w:val="18"/>
          <w:szCs w:val="18"/>
        </w:rPr>
        <w:t xml:space="preserve">HOWL PLATFORM · DOCUMENT 07</w:t>
      </w:r>
    </w:p>
    <w:p>
      <w:pPr>
        <w:spacing w:after="120"/>
      </w:pPr>
      <w:r>
        <w:rPr>
          <w:b/>
          <w:bCs/>
          <w:color w:val="17202A"/>
          <w:sz w:val="52"/>
          <w:szCs w:val="52"/>
        </w:rPr>
        <w:t xml:space="preserve">Decisions, Risks and Open Questions</w:t>
      </w:r>
    </w:p>
    <w:p>
      <w:pPr>
        <w:spacing w:after="160"/>
      </w:pPr>
      <w:r>
        <w:rPr>
          <w:color w:val="5B6573"/>
          <w:sz w:val="24"/>
          <w:szCs w:val="24"/>
        </w:rPr>
        <w:t xml:space="preserve">What to agree before building, what could go wrong, and what is still unknown.</w:t>
      </w:r>
    </w:p>
    <w:p>
      <w:pPr>
        <w:pBdr>
          <w:bottom w:val="single" w:color="2C58CF" w:sz="8" w:space="10"/>
        </w:pBdr>
        <w:spacing w:after="320"/>
      </w:pPr>
      <w:r>
        <w:rPr>
          <w:color w:val="5B6573"/>
          <w:sz w:val="18"/>
          <w:szCs w:val="18"/>
        </w:rPr>
        <w:t xml:space="preserve">Version 0.1 (draft)  ·  28 September 2026  ·  Prepared for the HOWL tech team  ·  First brand: Ampere</w:t>
      </w:r>
    </w:p>
    <w:p>
      <w:pPr>
        <w:spacing w:after="200" w:line="300"/>
      </w:pPr>
      <w:r>
        <w:rPr>
          <w:color w:val="5B6573"/>
          <w:sz w:val="24"/>
          <w:szCs w:val="24"/>
        </w:rPr>
        <w:t xml:space="preserve">The choices that need agreeing before Phase 0, the main risks and how they are handled, and the questions still open.</w:t>
      </w:r>
    </w:p>
    <w:p>
      <w:pPr>
        <w:pStyle w:val="Heading1"/>
        <w:spacing w:after="160" w:before="360"/>
      </w:pPr>
      <w:r>
        <w:t xml:space="preserve">1. Decision log</w:t>
      </w:r>
    </w:p>
    <w:p>
      <w:pPr>
        <w:spacing w:after="140" w:line="288"/>
      </w:pPr>
      <w:r>
        <w:t xml:space="preserve">Status "Proposed" means recommended here and awaiting agreement.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3"/>
        <w:gridCol w:w="1739"/>
        <w:gridCol w:w="2827"/>
        <w:gridCol w:w="2827"/>
        <w:gridCol w:w="1090"/>
      </w:tblGrid>
      <w:tr>
        <w:trPr>
          <w:tblHeader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#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Decision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Why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Canonical store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Postgres on Supabase from day one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Ledger and ranked queue need real queries; Sheets outgrown quickly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Windsor access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REST API (or Windsor sync into Postgres), not MCP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 scheduled pipeline needs a plain, testable API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PowerPoint library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python-pptx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pptxgenjs is JavaScript and would add a Node service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Review surface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Google Sheet per brand with two-way sync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No UI to build; same tool as Phase 5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AI results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Cache every answer; apply above 0.85 confidence, queue the rest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Repeatable builds, near-zero repeat cost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D6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Late data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Re-pull windows per source (Meta 28 days, GSC 3 days)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Platforms revise recent numbers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D7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Slack delivery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DM the reviewer; never post to a client channel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Matches "never auto-sent"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D8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Generator contract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Generators declare inputs, required columns, outputs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Platform can check readiness before running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D9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Narrative model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Claude Opus 5 by default; test Sonnet 5 as a cheaper option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Low volume; quality matters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D10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Metric definitions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One metric dictionary; averages as ratio of sums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Fixes the averaging errors in the current sheet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54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D11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Manifest store field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Remove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canonical_store</w:t>
            </w:r>
            <w:r>
              <w:rPr>
                <w:sz w:val="19"/>
                <w:szCs w:val="19"/>
              </w:rPr>
              <w:t xml:space="preserve"> Drive path; store is keyed by brand_id</w:t>
            </w:r>
          </w:p>
        </w:tc>
        <w:tc>
          <w:tcPr>
            <w:tcW w:type="dxa" w:w="28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Store is Postgres, not Drive</w:t>
            </w:r>
          </w:p>
        </w:tc>
        <w:tc>
          <w:tcPr>
            <w:tcW w:type="dxa" w:w="10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</w:tbl>
    <w:p>
      <w:pPr>
        <w:pStyle w:val="Heading1"/>
        <w:spacing w:after="160" w:before="360"/>
      </w:pPr>
      <w:r>
        <w:t xml:space="preserve">2. Risk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8"/>
        <w:gridCol w:w="1304"/>
        <w:gridCol w:w="1739"/>
        <w:gridCol w:w="3265"/>
      </w:tblGrid>
      <w:tr>
        <w:trPr>
          <w:tblHeader/>
        </w:trPr>
        <w:tc>
          <w:tcPr>
            <w:tcW w:type="dxa" w:w="271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Risk</w:t>
            </w:r>
          </w:p>
        </w:tc>
        <w:tc>
          <w:tcPr>
            <w:tcW w:type="dxa" w:w="130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Impact</w:t>
            </w:r>
          </w:p>
        </w:tc>
        <w:tc>
          <w:tcPr>
            <w:tcW w:type="dxa" w:w="326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Search Console history lost beyond 16 months</w:t>
            </w:r>
          </w:p>
        </w:tc>
        <w:tc>
          <w:tcPr>
            <w:tcW w:type="dxa" w:w="130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High if not acted on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No year-on-year comparisons</w:t>
            </w:r>
          </w:p>
        </w:tc>
        <w:tc>
          <w:tcPr>
            <w:tcW w:type="dxa" w:w="326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Start monthly exports now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Windsor does not cover a needed field or channel</w:t>
            </w:r>
          </w:p>
        </w:tc>
        <w:tc>
          <w:tcPr>
            <w:tcW w:type="dxa" w:w="130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Report gap</w:t>
            </w:r>
          </w:p>
        </w:tc>
        <w:tc>
          <w:tcPr>
            <w:tcW w:type="dxa" w:w="326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CSV fallback per source; direct connector for Meta as the spec allows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Metric definitions disputed after reports ship</w:t>
            </w:r>
          </w:p>
        </w:tc>
        <w:tc>
          <w:tcPr>
            <w:tcW w:type="dxa" w:w="130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Rework, client confusion</w:t>
            </w:r>
          </w:p>
        </w:tc>
        <w:tc>
          <w:tcPr>
            <w:tcW w:type="dxa" w:w="326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Agree the metric dictionary before Phase 2; notes tab in every report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Review queue neglected</w:t>
            </w:r>
          </w:p>
        </w:tc>
        <w:tc>
          <w:tcPr>
            <w:tcW w:type="dxa" w:w="130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Runs blocked or wrong tags</w:t>
            </w:r>
          </w:p>
        </w:tc>
        <w:tc>
          <w:tcPr>
            <w:tcW w:type="dxa" w:w="326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Impact ranking, blocking thresholds, daily summary of stale items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Campaign names not following the convention</w:t>
            </w:r>
          </w:p>
        </w:tc>
        <w:tc>
          <w:tcPr>
            <w:tcW w:type="dxa" w:w="130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Plan-versus-actual joins fail</w:t>
            </w:r>
          </w:p>
        </w:tc>
        <w:tc>
          <w:tcPr>
            <w:tcW w:type="dxa" w:w="326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Generated names only; unmatched campaigns go to review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OAuth connections expire</w:t>
            </w:r>
          </w:p>
        </w:tc>
        <w:tc>
          <w:tcPr>
            <w:tcW w:type="dxa" w:w="130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Missing data</w:t>
            </w:r>
          </w:p>
        </w:tc>
        <w:tc>
          <w:tcPr>
            <w:tcW w:type="dxa" w:w="326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Monitor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auth_status</w:t>
            </w:r>
            <w:r>
              <w:rPr>
                <w:sz w:val="19"/>
                <w:szCs w:val="19"/>
              </w:rPr>
              <w:t xml:space="preserve">; alert on change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Personal data from CRM leaks into AI calls or reports</w:t>
            </w:r>
          </w:p>
        </w:tc>
        <w:tc>
          <w:tcPr>
            <w:tcW w:type="dxa" w:w="130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26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Hash lead IDs; never send CRM rows to Claude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Core accumulates report-specific logic</w:t>
            </w:r>
          </w:p>
        </w:tc>
        <w:tc>
          <w:tcPr>
            <w:tcW w:type="dxa" w:w="130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3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Platform becomes hard to extend</w:t>
            </w:r>
          </w:p>
        </w:tc>
        <w:tc>
          <w:tcPr>
            <w:tcW w:type="dxa" w:w="326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Review rule: no report names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platform/</w:t>
            </w:r>
            <w:r>
              <w:rPr>
                <w:sz w:val="19"/>
                <w:szCs w:val="19"/>
              </w:rPr>
              <w:t xml:space="preserve">; checked in Phase 2 exit test</w:t>
            </w:r>
          </w:p>
        </w:tc>
      </w:tr>
    </w:tbl>
    <w:p>
      <w:pPr>
        <w:pStyle w:val="Heading1"/>
        <w:spacing w:after="160" w:before="360"/>
      </w:pPr>
      <w:r>
        <w:t xml:space="preserve">3.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5"/>
        <w:gridCol w:w="5085"/>
        <w:gridCol w:w="1779"/>
        <w:gridCol w:w="1527"/>
      </w:tblGrid>
      <w:tr>
        <w:trPr>
          <w:tblHeader/>
        </w:trPr>
        <w:tc>
          <w:tcPr>
            <w:tcW w:type="dxa" w:w="63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#</w:t>
            </w:r>
          </w:p>
        </w:tc>
        <w:tc>
          <w:tcPr>
            <w:tcW w:type="dxa" w:w="508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177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Owner</w:t>
            </w:r>
          </w:p>
        </w:tc>
        <w:tc>
          <w:tcPr>
            <w:tcW w:type="dxa" w:w="15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Q1</w:t>
            </w:r>
          </w:p>
        </w:tc>
        <w:tc>
          <w:tcPr>
            <w:tcW w:type="dxa" w:w="508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Exact formula for "Total" engagement rate in the current sheet</w:t>
            </w:r>
          </w:p>
        </w:tc>
        <w:tc>
          <w:tcPr>
            <w:tcW w:type="dxa" w:w="177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Sheet owner</w:t>
            </w:r>
          </w:p>
        </w:tc>
        <w:tc>
          <w:tcPr>
            <w:tcW w:type="dxa" w:w="15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Q2</w:t>
            </w:r>
          </w:p>
        </w:tc>
        <w:tc>
          <w:tcPr>
            <w:tcW w:type="dxa" w:w="508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Engagement definition per platform; does YouTube count views?</w:t>
            </w:r>
          </w:p>
        </w:tc>
        <w:tc>
          <w:tcPr>
            <w:tcW w:type="dxa" w:w="177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Account lead</w:t>
            </w:r>
          </w:p>
        </w:tc>
        <w:tc>
          <w:tcPr>
            <w:tcW w:type="dxa" w:w="15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Q3</w:t>
            </w:r>
          </w:p>
        </w:tc>
        <w:tc>
          <w:tcPr>
            <w:tcW w:type="dxa" w:w="508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Reporting period and average window (12 complete months or including current)</w:t>
            </w:r>
          </w:p>
        </w:tc>
        <w:tc>
          <w:tcPr>
            <w:tcW w:type="dxa" w:w="177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Account lead</w:t>
            </w:r>
          </w:p>
        </w:tc>
        <w:tc>
          <w:tcPr>
            <w:tcW w:type="dxa" w:w="15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Q4</w:t>
            </w:r>
          </w:p>
        </w:tc>
        <w:tc>
          <w:tcPr>
            <w:tcW w:type="dxa" w:w="508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Are boosted posts paid or organic?</w:t>
            </w:r>
          </w:p>
        </w:tc>
        <w:tc>
          <w:tcPr>
            <w:tcW w:type="dxa" w:w="177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Account lead</w:t>
            </w:r>
          </w:p>
        </w:tc>
        <w:tc>
          <w:tcPr>
            <w:tcW w:type="dxa" w:w="15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Q5</w:t>
            </w:r>
          </w:p>
        </w:tc>
        <w:tc>
          <w:tcPr>
            <w:tcW w:type="dxa" w:w="508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Which brands follow Ampere, and which sources do they use?</w:t>
            </w:r>
          </w:p>
        </w:tc>
        <w:tc>
          <w:tcPr>
            <w:tcW w:type="dxa" w:w="177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Founder</w:t>
            </w:r>
          </w:p>
        </w:tc>
        <w:tc>
          <w:tcPr>
            <w:tcW w:type="dxa" w:w="15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Q6</w:t>
            </w:r>
          </w:p>
        </w:tc>
        <w:tc>
          <w:tcPr>
            <w:tcW w:type="dxa" w:w="508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Windsor plan: number of accounts and connectors needed</w:t>
            </w:r>
          </w:p>
        </w:tc>
        <w:tc>
          <w:tcPr>
            <w:tcW w:type="dxa" w:w="177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Tech</w:t>
            </w:r>
          </w:p>
        </w:tc>
        <w:tc>
          <w:tcPr>
            <w:tcW w:type="dxa" w:w="15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Q7</w:t>
            </w:r>
          </w:p>
        </w:tc>
        <w:tc>
          <w:tcPr>
            <w:tcW w:type="dxa" w:w="508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Naming convention and plan taxonomy for media plans</w:t>
            </w:r>
          </w:p>
        </w:tc>
        <w:tc>
          <w:tcPr>
            <w:tcW w:type="dxa" w:w="177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Media team</w:t>
            </w:r>
          </w:p>
        </w:tc>
        <w:tc>
          <w:tcPr>
            <w:tcW w:type="dxa" w:w="15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Q8</w:t>
            </w:r>
          </w:p>
        </w:tc>
        <w:tc>
          <w:tcPr>
            <w:tcW w:type="dxa" w:w="508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Output format per client: xlsx, pptx or Google Sheet?</w:t>
            </w:r>
          </w:p>
        </w:tc>
        <w:tc>
          <w:tcPr>
            <w:tcW w:type="dxa" w:w="177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Account lead</w:t>
            </w:r>
          </w:p>
        </w:tc>
        <w:tc>
          <w:tcPr>
            <w:tcW w:type="dxa" w:w="15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Q9</w:t>
            </w:r>
          </w:p>
        </w:tc>
        <w:tc>
          <w:tcPr>
            <w:tcW w:type="dxa" w:w="508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Blocking threshold for review (starting proposal: 2% of the key metric)</w:t>
            </w:r>
          </w:p>
        </w:tc>
        <w:tc>
          <w:tcPr>
            <w:tcW w:type="dxa" w:w="1779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1527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Phase 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HOWL Platform · Decisions, Risks and Open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0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720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C58C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720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Decisions, Risks and Open Questions</dc:title>
  <dc:creator>HOWL tech</dc:creator>
  <dc:description>What to agree before building, what could go wrong, and what is still unknown.</dc:description>
  <cp:lastModifiedBy>Un-named</cp:lastModifiedBy>
  <cp:revision>1</cp:revision>
  <dcterms:created xsi:type="dcterms:W3CDTF">2026-09-27T20:19:10.301Z</dcterms:created>
  <dcterms:modified xsi:type="dcterms:W3CDTF">2026-09-27T20:19:10.301Z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