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left"/>
      </w:pPr>
      <w:r>
        <w:t>Qlyraxis User Manual</w:t>
      </w:r>
    </w:p>
    <w:p>
      <w:r>
        <w:rPr>
          <w:b/>
          <w:sz w:val="30"/>
        </w:rPr>
        <w:t>Installation operation configuration and reporting</w:t>
      </w:r>
    </w:p>
    <w:p/>
    <w:p>
      <w:r>
        <w:rPr>
          <w:sz w:val="22"/>
        </w:rPr>
        <w:t>Smart India Hackathon Problem Statement 26169</w:t>
      </w:r>
    </w:p>
    <w:p>
      <w:r>
        <w:rPr>
          <w:sz w:val="22"/>
        </w:rPr>
        <w:t>Indian Space Research Organisation</w:t>
      </w:r>
    </w:p>
    <w:p>
      <w:r>
        <w:rPr>
          <w:sz w:val="22"/>
        </w:rPr>
        <w:t>Theme Smart Automation</w:t>
      </w:r>
    </w:p>
    <w:p>
      <w:r>
        <w:rPr>
          <w:sz w:val="22"/>
        </w:rPr>
        <w:t>Qlyraxis SIH Team</w:t>
      </w:r>
    </w:p>
    <w:p>
      <w:r>
        <w:rPr>
          <w:sz w:val="22"/>
        </w:rPr>
        <w:t>September 2026</w:t>
      </w:r>
    </w:p>
    <w:p/>
    <w:p>
      <w:r>
        <w:rPr>
          <w:color w:val="2D4250"/>
          <w:sz w:val="24"/>
        </w:rPr>
        <w:t>AI assisted virtual camera tracking for coarse alignment of mobile free space optical communication terminals</w:t>
      </w:r>
    </w:p>
    <w:p>
      <w:r>
        <w:br w:type="page"/>
      </w:r>
    </w:p>
    <w:p>
      <w:pPr>
        <w:pStyle w:val="Heading1"/>
      </w:pPr>
      <w:r>
        <w:t>Purpose and Quick Start</w:t>
      </w:r>
    </w:p>
    <w:p>
      <w:r>
        <w:t>This manual explains how to install, launch, configure, test, and package Qlyraxis. The application supports deterministic simulations and recorded camera feeds. Use the desktop interface for demonstrations and the command line for repeatable benchmark runs.</w:t>
      </w:r>
    </w:p>
    <w:p>
      <w:pPr>
        <w:pStyle w:val="Heading2"/>
      </w:pPr>
      <w:r>
        <w:t>Fastest Local Start</w:t>
      </w:r>
    </w:p>
    <w:p>
      <w:pPr>
        <w:ind w:left="403" w:hanging="317"/>
      </w:pPr>
      <w:r>
        <w:t>1.  Open a terminal in the Qlyraxis repository.</w:t>
      </w:r>
    </w:p>
    <w:p>
      <w:pPr>
        <w:ind w:left="403" w:hanging="317"/>
      </w:pPr>
      <w:r>
        <w:t>2.  Create and activate a Python virtual environment.</w:t>
      </w:r>
    </w:p>
    <w:p>
      <w:pPr>
        <w:ind w:left="403" w:hanging="317"/>
      </w:pPr>
      <w:r>
        <w:t>3.  Install the project with python -m pip install -e .</w:t>
      </w:r>
    </w:p>
    <w:p>
      <w:pPr>
        <w:ind w:left="403" w:hanging="317"/>
      </w:pPr>
      <w:r>
        <w:t>4.  Run qlyraxis gui.</w:t>
      </w:r>
    </w:p>
    <w:p>
      <w:pPr>
        <w:ind w:left="403" w:hanging="317"/>
      </w:pPr>
      <w:r>
        <w:t>5.  Select a scenario and press Start.</w:t>
      </w:r>
    </w:p>
    <w:p>
      <w:pPr>
        <w:ind w:left="403" w:hanging="317"/>
      </w:pPr>
      <w:r>
        <w:t>6.  Press Export performance report after collecting frames.</w:t>
      </w:r>
    </w:p>
    <w:p>
      <w:pPr>
        <w:pStyle w:val="Heading2"/>
      </w:pPr>
      <w:r>
        <w:t>System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2880"/>
            <w:shd w:fill="17324D"/>
            <w:vAlign w:val="center"/>
            <w:tcMar>
              <w:top w:w="90" w:type="dxa"/>
              <w:start w:w="110" w:type="dxa"/>
              <w:bottom w:w="90" w:type="dxa"/>
              <w:end w:w="110" w:type="dxa"/>
            </w:tcMar>
          </w:tcPr>
          <w:p>
            <w:r>
              <w:rPr>
                <w:b/>
                <w:color w:val="FFFFFF"/>
                <w:sz w:val="18"/>
              </w:rPr>
              <w:t>Component</w:t>
            </w:r>
          </w:p>
        </w:tc>
        <w:tc>
          <w:tcPr>
            <w:tcW w:type="dxa" w:w="6624"/>
            <w:shd w:fill="17324D"/>
            <w:vAlign w:val="center"/>
            <w:tcMar>
              <w:top w:w="90" w:type="dxa"/>
              <w:start w:w="110" w:type="dxa"/>
              <w:bottom w:w="90" w:type="dxa"/>
              <w:end w:w="110" w:type="dxa"/>
            </w:tcMar>
          </w:tcPr>
          <w:p>
            <w:r>
              <w:rPr>
                <w:b/>
                <w:color w:val="FFFFFF"/>
                <w:sz w:val="18"/>
              </w:rPr>
              <w:t>Requirement</w:t>
            </w:r>
          </w:p>
        </w:tc>
      </w:tr>
      <w:tr>
        <w:tc>
          <w:tcPr>
            <w:tcW w:type="dxa" w:w="2880"/>
            <w:vAlign w:val="center"/>
            <w:tcMar>
              <w:top w:w="90" w:type="dxa"/>
              <w:start w:w="110" w:type="dxa"/>
              <w:bottom w:w="90" w:type="dxa"/>
              <w:end w:w="110" w:type="dxa"/>
            </w:tcMar>
          </w:tcPr>
          <w:p>
            <w:pPr>
              <w:spacing w:after="0"/>
            </w:pPr>
            <w:r>
              <w:rPr>
                <w:sz w:val="17"/>
              </w:rPr>
              <w:t>Operating system</w:t>
            </w:r>
          </w:p>
        </w:tc>
        <w:tc>
          <w:tcPr>
            <w:tcW w:type="dxa" w:w="6624"/>
            <w:vAlign w:val="center"/>
            <w:tcMar>
              <w:top w:w="90" w:type="dxa"/>
              <w:start w:w="110" w:type="dxa"/>
              <w:bottom w:w="90" w:type="dxa"/>
              <w:end w:w="110" w:type="dxa"/>
            </w:tcMar>
          </w:tcPr>
          <w:p>
            <w:pPr>
              <w:spacing w:after="0"/>
            </w:pPr>
            <w:r>
              <w:rPr>
                <w:sz w:val="17"/>
              </w:rPr>
              <w:t>Linux Windows or macOS for source execution</w:t>
            </w:r>
          </w:p>
        </w:tc>
      </w:tr>
      <w:tr>
        <w:tc>
          <w:tcPr>
            <w:tcW w:type="dxa" w:w="2880"/>
            <w:vAlign w:val="center"/>
            <w:tcMar>
              <w:top w:w="90" w:type="dxa"/>
              <w:start w:w="110" w:type="dxa"/>
              <w:bottom w:w="90" w:type="dxa"/>
              <w:end w:w="110" w:type="dxa"/>
            </w:tcMar>
            <w:shd w:fill="EEF4F7"/>
          </w:tcPr>
          <w:p>
            <w:pPr>
              <w:spacing w:after="0"/>
            </w:pPr>
            <w:r>
              <w:rPr>
                <w:sz w:val="17"/>
              </w:rPr>
              <w:t>Python</w:t>
            </w:r>
          </w:p>
        </w:tc>
        <w:tc>
          <w:tcPr>
            <w:tcW w:type="dxa" w:w="6624"/>
            <w:vAlign w:val="center"/>
            <w:tcMar>
              <w:top w:w="90" w:type="dxa"/>
              <w:start w:w="110" w:type="dxa"/>
              <w:bottom w:w="90" w:type="dxa"/>
              <w:end w:w="110" w:type="dxa"/>
            </w:tcMar>
            <w:shd w:fill="EEF4F7"/>
          </w:tcPr>
          <w:p>
            <w:pPr>
              <w:spacing w:after="0"/>
            </w:pPr>
            <w:r>
              <w:rPr>
                <w:sz w:val="17"/>
              </w:rPr>
              <w:t>Version 3.11 or newer</w:t>
            </w:r>
          </w:p>
        </w:tc>
      </w:tr>
      <w:tr>
        <w:tc>
          <w:tcPr>
            <w:tcW w:type="dxa" w:w="2880"/>
            <w:vAlign w:val="center"/>
            <w:tcMar>
              <w:top w:w="90" w:type="dxa"/>
              <w:start w:w="110" w:type="dxa"/>
              <w:bottom w:w="90" w:type="dxa"/>
              <w:end w:w="110" w:type="dxa"/>
            </w:tcMar>
          </w:tcPr>
          <w:p>
            <w:pPr>
              <w:spacing w:after="0"/>
            </w:pPr>
            <w:r>
              <w:rPr>
                <w:sz w:val="17"/>
              </w:rPr>
              <w:t>Display</w:t>
            </w:r>
          </w:p>
        </w:tc>
        <w:tc>
          <w:tcPr>
            <w:tcW w:type="dxa" w:w="6624"/>
            <w:vAlign w:val="center"/>
            <w:tcMar>
              <w:top w:w="90" w:type="dxa"/>
              <w:start w:w="110" w:type="dxa"/>
              <w:bottom w:w="90" w:type="dxa"/>
              <w:end w:w="110" w:type="dxa"/>
            </w:tcMar>
          </w:tcPr>
          <w:p>
            <w:pPr>
              <w:spacing w:after="0"/>
            </w:pPr>
            <w:r>
              <w:rPr>
                <w:sz w:val="17"/>
              </w:rPr>
              <w:t>Recommended 1280 by 720 or larger</w:t>
            </w:r>
          </w:p>
        </w:tc>
      </w:tr>
      <w:tr>
        <w:tc>
          <w:tcPr>
            <w:tcW w:type="dxa" w:w="2880"/>
            <w:vAlign w:val="center"/>
            <w:tcMar>
              <w:top w:w="90" w:type="dxa"/>
              <w:start w:w="110" w:type="dxa"/>
              <w:bottom w:w="90" w:type="dxa"/>
              <w:end w:w="110" w:type="dxa"/>
            </w:tcMar>
            <w:shd w:fill="EEF4F7"/>
          </w:tcPr>
          <w:p>
            <w:pPr>
              <w:spacing w:after="0"/>
            </w:pPr>
            <w:r>
              <w:rPr>
                <w:sz w:val="17"/>
              </w:rPr>
              <w:t>Core libraries</w:t>
            </w:r>
          </w:p>
        </w:tc>
        <w:tc>
          <w:tcPr>
            <w:tcW w:type="dxa" w:w="6624"/>
            <w:vAlign w:val="center"/>
            <w:tcMar>
              <w:top w:w="90" w:type="dxa"/>
              <w:start w:w="110" w:type="dxa"/>
              <w:bottom w:w="90" w:type="dxa"/>
              <w:end w:w="110" w:type="dxa"/>
            </w:tcMar>
            <w:shd w:fill="EEF4F7"/>
          </w:tcPr>
          <w:p>
            <w:pPr>
              <w:spacing w:after="0"/>
            </w:pPr>
            <w:r>
              <w:rPr>
                <w:sz w:val="17"/>
              </w:rPr>
              <w:t>NumPy OpenCV and Tk</w:t>
            </w:r>
          </w:p>
        </w:tc>
      </w:tr>
      <w:tr>
        <w:tc>
          <w:tcPr>
            <w:tcW w:type="dxa" w:w="2880"/>
            <w:vAlign w:val="center"/>
            <w:tcMar>
              <w:top w:w="90" w:type="dxa"/>
              <w:start w:w="110" w:type="dxa"/>
              <w:bottom w:w="90" w:type="dxa"/>
              <w:end w:w="110" w:type="dxa"/>
            </w:tcMar>
          </w:tcPr>
          <w:p>
            <w:pPr>
              <w:spacing w:after="0"/>
            </w:pPr>
            <w:r>
              <w:rPr>
                <w:sz w:val="17"/>
              </w:rPr>
              <w:t>Model training</w:t>
            </w:r>
          </w:p>
        </w:tc>
        <w:tc>
          <w:tcPr>
            <w:tcW w:type="dxa" w:w="6624"/>
            <w:vAlign w:val="center"/>
            <w:tcMar>
              <w:top w:w="90" w:type="dxa"/>
              <w:start w:w="110" w:type="dxa"/>
              <w:bottom w:w="90" w:type="dxa"/>
              <w:end w:w="110" w:type="dxa"/>
            </w:tcMar>
          </w:tcPr>
          <w:p>
            <w:pPr>
              <w:spacing w:after="0"/>
            </w:pPr>
            <w:r>
              <w:rPr>
                <w:sz w:val="17"/>
              </w:rPr>
              <w:t>Optional ONNX package</w:t>
            </w:r>
          </w:p>
        </w:tc>
      </w:tr>
      <w:tr>
        <w:tc>
          <w:tcPr>
            <w:tcW w:type="dxa" w:w="2880"/>
            <w:vAlign w:val="center"/>
            <w:tcMar>
              <w:top w:w="90" w:type="dxa"/>
              <w:start w:w="110" w:type="dxa"/>
              <w:bottom w:w="90" w:type="dxa"/>
              <w:end w:w="110" w:type="dxa"/>
            </w:tcMar>
            <w:shd w:fill="EEF4F7"/>
          </w:tcPr>
          <w:p>
            <w:pPr>
              <w:spacing w:after="0"/>
            </w:pPr>
            <w:r>
              <w:rPr>
                <w:sz w:val="17"/>
              </w:rPr>
              <w:t>Packaging</w:t>
            </w:r>
          </w:p>
        </w:tc>
        <w:tc>
          <w:tcPr>
            <w:tcW w:type="dxa" w:w="6624"/>
            <w:vAlign w:val="center"/>
            <w:tcMar>
              <w:top w:w="90" w:type="dxa"/>
              <w:start w:w="110" w:type="dxa"/>
              <w:bottom w:w="90" w:type="dxa"/>
              <w:end w:w="110" w:type="dxa"/>
            </w:tcMar>
            <w:shd w:fill="EEF4F7"/>
          </w:tcPr>
          <w:p>
            <w:pPr>
              <w:spacing w:after="0"/>
            </w:pPr>
            <w:r>
              <w:rPr>
                <w:sz w:val="17"/>
              </w:rPr>
              <w:t>Optional PyInstaller package</w:t>
            </w:r>
          </w:p>
        </w:tc>
      </w:tr>
    </w:tbl>
    <w:p/>
    <w:p>
      <w:r>
        <w:br w:type="page"/>
      </w:r>
    </w:p>
    <w:p>
      <w:pPr>
        <w:pStyle w:val="Heading1"/>
      </w:pPr>
      <w:r>
        <w:t>Installation and Launch</w:t>
      </w:r>
    </w:p>
    <w:p>
      <w:pPr>
        <w:pStyle w:val="Heading2"/>
      </w:pPr>
      <w:r>
        <w:t>Source Installation</w:t>
      </w:r>
    </w:p>
    <w:p>
      <w:r>
        <w:rPr>
          <w:rFonts w:ascii="Liberation Mono" w:hAnsi="Liberation Mono"/>
          <w:sz w:val="19"/>
        </w:rPr>
        <w:t>python -m venv .venv</w:t>
      </w:r>
    </w:p>
    <w:p>
      <w:r>
        <w:rPr>
          <w:rFonts w:ascii="Liberation Mono" w:hAnsi="Liberation Mono"/>
          <w:sz w:val="19"/>
        </w:rPr>
        <w:t>source .venv/bin/activate</w:t>
      </w:r>
    </w:p>
    <w:p>
      <w:r>
        <w:rPr>
          <w:rFonts w:ascii="Liberation Mono" w:hAnsi="Liberation Mono"/>
          <w:sz w:val="19"/>
        </w:rPr>
        <w:t>python -m pip install -e .</w:t>
      </w:r>
    </w:p>
    <w:p>
      <w:r>
        <w:rPr>
          <w:rFonts w:ascii="Liberation Mono" w:hAnsi="Liberation Mono"/>
          <w:sz w:val="19"/>
        </w:rPr>
        <w:t>qlyraxis gui</w:t>
      </w:r>
    </w:p>
    <w:p>
      <w:r>
        <w:t>On Windows activate the environment with .venv\Scripts\activate and use the same install and launch commands. The committed ONNX model runs through OpenCV, so ONNX Runtime is not required.</w:t>
      </w:r>
    </w:p>
    <w:p>
      <w:pPr>
        <w:pStyle w:val="Heading2"/>
      </w:pPr>
      <w:r>
        <w:t>Packaged Linux Application</w:t>
      </w:r>
    </w:p>
    <w:p>
      <w:pPr>
        <w:ind w:left="403" w:hanging="317"/>
      </w:pPr>
      <w:r>
        <w:t>1.  Install the packaging extra with python -m pip install -e .[packaging].</w:t>
      </w:r>
    </w:p>
    <w:p>
      <w:pPr>
        <w:ind w:left="403" w:hanging="317"/>
      </w:pPr>
      <w:r>
        <w:t>2.  Run scripts/build_executable.sh from the repository root.</w:t>
      </w:r>
    </w:p>
    <w:p>
      <w:pPr>
        <w:ind w:left="403" w:hanging="317"/>
      </w:pPr>
      <w:r>
        <w:t>3.  Launch dist/Qlyraxis/Qlyraxis gui.</w:t>
      </w:r>
    </w:p>
    <w:p>
      <w:pPr>
        <w:ind w:left="403" w:hanging="317"/>
      </w:pPr>
      <w:r>
        <w:t>4.  Keep the complete dist/Qlyraxis folder together when copying it to another machine.</w:t>
      </w:r>
    </w:p>
    <w:p>
      <w:r>
        <w:t>PyInstaller bundles Python, OpenCV, NumPy, Tcl Tk, scenario files, documentation, and the ONNX model. Build separately on each target operating system because PyInstaller does not cross compile.</w:t>
      </w:r>
    </w:p>
    <w:p>
      <w:r>
        <w:br w:type="page"/>
      </w:r>
    </w:p>
    <w:p>
      <w:pPr>
        <w:pStyle w:val="Heading1"/>
      </w:pPr>
      <w:r>
        <w:t>Desktop Interface</w:t>
      </w:r>
    </w:p>
    <w:p>
      <w:pPr>
        <w:jc w:val="center"/>
      </w:pPr>
      <w:r>
        <w:drawing>
          <wp:inline xmlns:a="http://schemas.openxmlformats.org/drawingml/2006/main" xmlns:pic="http://schemas.openxmlformats.org/drawingml/2006/picture">
            <wp:extent cx="5989320" cy="3368992"/>
            <wp:docPr id="1" name="Picture 1" descr="Figure 1  Main desktop window" title="Figure 1  Main desktop window"/>
            <wp:cNvGraphicFramePr>
              <a:graphicFrameLocks noChangeAspect="1"/>
            </wp:cNvGraphicFramePr>
            <a:graphic>
              <a:graphicData uri="http://schemas.openxmlformats.org/drawingml/2006/picture">
                <pic:pic>
                  <pic:nvPicPr>
                    <pic:cNvPr id="0" name="phase7-gui.png"/>
                    <pic:cNvPicPr/>
                  </pic:nvPicPr>
                  <pic:blipFill>
                    <a:blip r:embed="rId11"/>
                    <a:stretch>
                      <a:fillRect/>
                    </a:stretch>
                  </pic:blipFill>
                  <pic:spPr>
                    <a:xfrm>
                      <a:off x="0" y="0"/>
                      <a:ext cx="5989320" cy="3368992"/>
                    </a:xfrm>
                    <a:prstGeom prst="rect"/>
                  </pic:spPr>
                </pic:pic>
              </a:graphicData>
            </a:graphic>
          </wp:inline>
        </w:drawing>
      </w:r>
    </w:p>
    <w:p>
      <w:pPr>
        <w:pStyle w:val="Caption"/>
        <w:jc w:val="center"/>
      </w:pPr>
      <w:r>
        <w:t>Figure 1  Main desktop window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2880"/>
            <w:shd w:fill="17324D"/>
            <w:vAlign w:val="center"/>
            <w:tcMar>
              <w:top w:w="90" w:type="dxa"/>
              <w:start w:w="110" w:type="dxa"/>
              <w:bottom w:w="90" w:type="dxa"/>
              <w:end w:w="110" w:type="dxa"/>
            </w:tcMar>
          </w:tcPr>
          <w:p>
            <w:r>
              <w:rPr>
                <w:b/>
                <w:color w:val="FFFFFF"/>
                <w:sz w:val="18"/>
              </w:rPr>
              <w:t>Control</w:t>
            </w:r>
          </w:p>
        </w:tc>
        <w:tc>
          <w:tcPr>
            <w:tcW w:type="dxa" w:w="6624"/>
            <w:shd w:fill="17324D"/>
            <w:vAlign w:val="center"/>
            <w:tcMar>
              <w:top w:w="90" w:type="dxa"/>
              <w:start w:w="110" w:type="dxa"/>
              <w:bottom w:w="90" w:type="dxa"/>
              <w:end w:w="110" w:type="dxa"/>
            </w:tcMar>
          </w:tcPr>
          <w:p>
            <w:r>
              <w:rPr>
                <w:b/>
                <w:color w:val="FFFFFF"/>
                <w:sz w:val="18"/>
              </w:rPr>
              <w:t>Action</w:t>
            </w:r>
          </w:p>
        </w:tc>
      </w:tr>
      <w:tr>
        <w:tc>
          <w:tcPr>
            <w:tcW w:type="dxa" w:w="2880"/>
            <w:vAlign w:val="center"/>
            <w:tcMar>
              <w:top w:w="90" w:type="dxa"/>
              <w:start w:w="110" w:type="dxa"/>
              <w:bottom w:w="90" w:type="dxa"/>
              <w:end w:w="110" w:type="dxa"/>
            </w:tcMar>
          </w:tcPr>
          <w:p>
            <w:pPr>
              <w:spacing w:after="0"/>
            </w:pPr>
            <w:r>
              <w:rPr>
                <w:sz w:val="17"/>
              </w:rPr>
              <w:t>Scenario</w:t>
            </w:r>
          </w:p>
        </w:tc>
        <w:tc>
          <w:tcPr>
            <w:tcW w:type="dxa" w:w="6624"/>
            <w:vAlign w:val="center"/>
            <w:tcMar>
              <w:top w:w="90" w:type="dxa"/>
              <w:start w:w="110" w:type="dxa"/>
              <w:bottom w:w="90" w:type="dxa"/>
              <w:end w:w="110" w:type="dxa"/>
            </w:tcMar>
          </w:tcPr>
          <w:p>
            <w:pPr>
              <w:spacing w:after="0"/>
            </w:pPr>
            <w:r>
              <w:rPr>
                <w:sz w:val="17"/>
              </w:rPr>
              <w:t>Select one of the five reproducible configurations</w:t>
            </w:r>
          </w:p>
        </w:tc>
      </w:tr>
      <w:tr>
        <w:tc>
          <w:tcPr>
            <w:tcW w:type="dxa" w:w="2880"/>
            <w:vAlign w:val="center"/>
            <w:tcMar>
              <w:top w:w="90" w:type="dxa"/>
              <w:start w:w="110" w:type="dxa"/>
              <w:bottom w:w="90" w:type="dxa"/>
              <w:end w:w="110" w:type="dxa"/>
            </w:tcMar>
            <w:shd w:fill="EEF4F7"/>
          </w:tcPr>
          <w:p>
            <w:pPr>
              <w:spacing w:after="0"/>
            </w:pPr>
            <w:r>
              <w:rPr>
                <w:sz w:val="17"/>
              </w:rPr>
              <w:t>Disturbance overrides</w:t>
            </w:r>
          </w:p>
        </w:tc>
        <w:tc>
          <w:tcPr>
            <w:tcW w:type="dxa" w:w="6624"/>
            <w:vAlign w:val="center"/>
            <w:tcMar>
              <w:top w:w="90" w:type="dxa"/>
              <w:start w:w="110" w:type="dxa"/>
              <w:bottom w:w="90" w:type="dxa"/>
              <w:end w:w="110" w:type="dxa"/>
            </w:tcMar>
            <w:shd w:fill="EEF4F7"/>
          </w:tcPr>
          <w:p>
            <w:pPr>
              <w:spacing w:after="0"/>
            </w:pPr>
            <w:r>
              <w:rPr>
                <w:sz w:val="17"/>
              </w:rPr>
              <w:t>Adjust atmosphere noise jitter and turbulence before starting</w:t>
            </w:r>
          </w:p>
        </w:tc>
      </w:tr>
      <w:tr>
        <w:tc>
          <w:tcPr>
            <w:tcW w:type="dxa" w:w="2880"/>
            <w:vAlign w:val="center"/>
            <w:tcMar>
              <w:top w:w="90" w:type="dxa"/>
              <w:start w:w="110" w:type="dxa"/>
              <w:bottom w:w="90" w:type="dxa"/>
              <w:end w:w="110" w:type="dxa"/>
            </w:tcMar>
          </w:tcPr>
          <w:p>
            <w:pPr>
              <w:spacing w:after="0"/>
            </w:pPr>
            <w:r>
              <w:rPr>
                <w:sz w:val="17"/>
              </w:rPr>
              <w:t>Start Pause</w:t>
            </w:r>
          </w:p>
        </w:tc>
        <w:tc>
          <w:tcPr>
            <w:tcW w:type="dxa" w:w="6624"/>
            <w:vAlign w:val="center"/>
            <w:tcMar>
              <w:top w:w="90" w:type="dxa"/>
              <w:start w:w="110" w:type="dxa"/>
              <w:bottom w:w="90" w:type="dxa"/>
              <w:end w:w="110" w:type="dxa"/>
            </w:tcMar>
          </w:tcPr>
          <w:p>
            <w:pPr>
              <w:spacing w:after="0"/>
            </w:pPr>
            <w:r>
              <w:rPr>
                <w:sz w:val="17"/>
              </w:rPr>
              <w:t>Begin or temporarily stop frame processing</w:t>
            </w:r>
          </w:p>
        </w:tc>
      </w:tr>
      <w:tr>
        <w:tc>
          <w:tcPr>
            <w:tcW w:type="dxa" w:w="2880"/>
            <w:vAlign w:val="center"/>
            <w:tcMar>
              <w:top w:w="90" w:type="dxa"/>
              <w:start w:w="110" w:type="dxa"/>
              <w:bottom w:w="90" w:type="dxa"/>
              <w:end w:w="110" w:type="dxa"/>
            </w:tcMar>
            <w:shd w:fill="EEF4F7"/>
          </w:tcPr>
          <w:p>
            <w:pPr>
              <w:spacing w:after="0"/>
            </w:pPr>
            <w:r>
              <w:rPr>
                <w:sz w:val="17"/>
              </w:rPr>
              <w:t>Reset</w:t>
            </w:r>
          </w:p>
        </w:tc>
        <w:tc>
          <w:tcPr>
            <w:tcW w:type="dxa" w:w="6624"/>
            <w:vAlign w:val="center"/>
            <w:tcMar>
              <w:top w:w="90" w:type="dxa"/>
              <w:start w:w="110" w:type="dxa"/>
              <w:bottom w:w="90" w:type="dxa"/>
              <w:end w:w="110" w:type="dxa"/>
            </w:tcMar>
            <w:shd w:fill="EEF4F7"/>
          </w:tcPr>
          <w:p>
            <w:pPr>
              <w:spacing w:after="0"/>
            </w:pPr>
            <w:r>
              <w:rPr>
                <w:sz w:val="17"/>
              </w:rPr>
              <w:t>Clear state metrics and the current source</w:t>
            </w:r>
          </w:p>
        </w:tc>
      </w:tr>
      <w:tr>
        <w:tc>
          <w:tcPr>
            <w:tcW w:type="dxa" w:w="2880"/>
            <w:vAlign w:val="center"/>
            <w:tcMar>
              <w:top w:w="90" w:type="dxa"/>
              <w:start w:w="110" w:type="dxa"/>
              <w:bottom w:w="90" w:type="dxa"/>
              <w:end w:w="110" w:type="dxa"/>
            </w:tcMar>
          </w:tcPr>
          <w:p>
            <w:pPr>
              <w:spacing w:after="0"/>
            </w:pPr>
            <w:r>
              <w:rPr>
                <w:sz w:val="17"/>
              </w:rPr>
              <w:t>Open recording</w:t>
            </w:r>
          </w:p>
        </w:tc>
        <w:tc>
          <w:tcPr>
            <w:tcW w:type="dxa" w:w="6624"/>
            <w:vAlign w:val="center"/>
            <w:tcMar>
              <w:top w:w="90" w:type="dxa"/>
              <w:start w:w="110" w:type="dxa"/>
              <w:bottom w:w="90" w:type="dxa"/>
              <w:end w:w="110" w:type="dxa"/>
            </w:tcMar>
          </w:tcPr>
          <w:p>
            <w:pPr>
              <w:spacing w:after="0"/>
            </w:pPr>
            <w:r>
              <w:rPr>
                <w:sz w:val="17"/>
              </w:rPr>
              <w:t>Choose a video or still image for ground truth free analysis</w:t>
            </w:r>
          </w:p>
        </w:tc>
      </w:tr>
      <w:tr>
        <w:tc>
          <w:tcPr>
            <w:tcW w:type="dxa" w:w="2880"/>
            <w:vAlign w:val="center"/>
            <w:tcMar>
              <w:top w:w="90" w:type="dxa"/>
              <w:start w:w="110" w:type="dxa"/>
              <w:bottom w:w="90" w:type="dxa"/>
              <w:end w:w="110" w:type="dxa"/>
            </w:tcMar>
            <w:shd w:fill="EEF4F7"/>
          </w:tcPr>
          <w:p>
            <w:pPr>
              <w:spacing w:after="0"/>
            </w:pPr>
            <w:r>
              <w:rPr>
                <w:sz w:val="17"/>
              </w:rPr>
              <w:t>Export performance report</w:t>
            </w:r>
          </w:p>
        </w:tc>
        <w:tc>
          <w:tcPr>
            <w:tcW w:type="dxa" w:w="6624"/>
            <w:vAlign w:val="center"/>
            <w:tcMar>
              <w:top w:w="90" w:type="dxa"/>
              <w:start w:w="110" w:type="dxa"/>
              <w:bottom w:w="90" w:type="dxa"/>
              <w:end w:w="110" w:type="dxa"/>
            </w:tcMar>
            <w:shd w:fill="EEF4F7"/>
          </w:tcPr>
          <w:p>
            <w:pPr>
              <w:spacing w:after="0"/>
            </w:pPr>
            <w:r>
              <w:rPr>
                <w:sz w:val="17"/>
              </w:rPr>
              <w:t>Write CSV JSON and HTML to a chosen directory</w:t>
            </w:r>
          </w:p>
        </w:tc>
      </w:tr>
    </w:tbl>
    <w:p/>
    <w:p>
      <w:r>
        <w:br w:type="page"/>
      </w:r>
    </w:p>
    <w:p>
      <w:pPr>
        <w:pStyle w:val="Heading1"/>
      </w:pPr>
      <w:r>
        <w:t>Running Simulations</w:t>
      </w:r>
    </w:p>
    <w:p>
      <w:pPr>
        <w:ind w:left="403" w:hanging="317"/>
      </w:pPr>
      <w:r>
        <w:t>1.  Choose clear straight for the simplest smoke test or another scenario for disturbances.</w:t>
      </w:r>
    </w:p>
    <w:p>
      <w:pPr>
        <w:ind w:left="403" w:hanging="317"/>
      </w:pPr>
      <w:r>
        <w:t>2.  Optionally change the atmosphere noise sigma jitter or turbulence fields.</w:t>
      </w:r>
    </w:p>
    <w:p>
      <w:pPr>
        <w:ind w:left="403" w:hanging="317"/>
      </w:pPr>
      <w:r>
        <w:t>3.  Press Start and observe the tracker state change from SEARCH to ACQUIRE to TRACK.</w:t>
      </w:r>
    </w:p>
    <w:p>
      <w:pPr>
        <w:ind w:left="403" w:hanging="317"/>
      </w:pPr>
      <w:r>
        <w:t>4.  Confirm that the magenta estimate circle and yellow detection box remain on the beacon.</w:t>
      </w:r>
    </w:p>
    <w:p>
      <w:pPr>
        <w:ind w:left="403" w:hanging="317"/>
      </w:pPr>
      <w:r>
        <w:t>5.  Watch pipeline FPS centroid error lock retention and the error history plot.</w:t>
      </w:r>
    </w:p>
    <w:p>
      <w:pPr>
        <w:ind w:left="403" w:hanging="317"/>
      </w:pPr>
      <w:r>
        <w:t>6.  Pause when needed or reset to replay from frame zero with the same seed.</w:t>
      </w:r>
    </w:p>
    <w:p>
      <w:pPr>
        <w:pStyle w:val="Heading2"/>
      </w:pPr>
      <w:r>
        <w:t>Scenario Guide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3312"/>
            <w:shd w:fill="17324D"/>
            <w:vAlign w:val="center"/>
            <w:tcMar>
              <w:top w:w="90" w:type="dxa"/>
              <w:start w:w="110" w:type="dxa"/>
              <w:bottom w:w="90" w:type="dxa"/>
              <w:end w:w="110" w:type="dxa"/>
            </w:tcMar>
          </w:tcPr>
          <w:p>
            <w:r>
              <w:rPr>
                <w:b/>
                <w:color w:val="FFFFFF"/>
                <w:sz w:val="18"/>
              </w:rPr>
              <w:t>Scenario</w:t>
            </w:r>
          </w:p>
        </w:tc>
        <w:tc>
          <w:tcPr>
            <w:tcW w:type="dxa" w:w="6192"/>
            <w:shd w:fill="17324D"/>
            <w:vAlign w:val="center"/>
            <w:tcMar>
              <w:top w:w="90" w:type="dxa"/>
              <w:start w:w="110" w:type="dxa"/>
              <w:bottom w:w="90" w:type="dxa"/>
              <w:end w:w="110" w:type="dxa"/>
            </w:tcMar>
          </w:tcPr>
          <w:p>
            <w:r>
              <w:rPr>
                <w:b/>
                <w:color w:val="FFFFFF"/>
                <w:sz w:val="18"/>
              </w:rPr>
              <w:t>Primary test</w:t>
            </w:r>
          </w:p>
        </w:tc>
      </w:tr>
      <w:tr>
        <w:tc>
          <w:tcPr>
            <w:tcW w:type="dxa" w:w="3312"/>
            <w:vAlign w:val="center"/>
            <w:tcMar>
              <w:top w:w="90" w:type="dxa"/>
              <w:start w:w="110" w:type="dxa"/>
              <w:bottom w:w="90" w:type="dxa"/>
              <w:end w:w="110" w:type="dxa"/>
            </w:tcMar>
          </w:tcPr>
          <w:p>
            <w:pPr>
              <w:spacing w:after="0"/>
            </w:pPr>
            <w:r>
              <w:rPr>
                <w:sz w:val="17"/>
              </w:rPr>
              <w:t>clear straight</w:t>
            </w:r>
          </w:p>
        </w:tc>
        <w:tc>
          <w:tcPr>
            <w:tcW w:type="dxa" w:w="6192"/>
            <w:vAlign w:val="center"/>
            <w:tcMar>
              <w:top w:w="90" w:type="dxa"/>
              <w:start w:w="110" w:type="dxa"/>
              <w:bottom w:w="90" w:type="dxa"/>
              <w:end w:w="110" w:type="dxa"/>
            </w:tcMar>
          </w:tcPr>
          <w:p>
            <w:pPr>
              <w:spacing w:after="0"/>
            </w:pPr>
            <w:r>
              <w:rPr>
                <w:sz w:val="17"/>
              </w:rPr>
              <w:t>Baseline acquisition tracking and camera control</w:t>
            </w:r>
          </w:p>
        </w:tc>
      </w:tr>
      <w:tr>
        <w:tc>
          <w:tcPr>
            <w:tcW w:type="dxa" w:w="3312"/>
            <w:vAlign w:val="center"/>
            <w:tcMar>
              <w:top w:w="90" w:type="dxa"/>
              <w:start w:w="110" w:type="dxa"/>
              <w:bottom w:w="90" w:type="dxa"/>
              <w:end w:w="110" w:type="dxa"/>
            </w:tcMar>
            <w:shd w:fill="EEF4F7"/>
          </w:tcPr>
          <w:p>
            <w:pPr>
              <w:spacing w:after="0"/>
            </w:pPr>
            <w:r>
              <w:rPr>
                <w:sz w:val="17"/>
              </w:rPr>
              <w:t>noisy circle</w:t>
            </w:r>
          </w:p>
        </w:tc>
        <w:tc>
          <w:tcPr>
            <w:tcW w:type="dxa" w:w="6192"/>
            <w:vAlign w:val="center"/>
            <w:tcMar>
              <w:top w:w="90" w:type="dxa"/>
              <w:start w:w="110" w:type="dxa"/>
              <w:bottom w:w="90" w:type="dxa"/>
              <w:end w:w="110" w:type="dxa"/>
            </w:tcMar>
            <w:shd w:fill="EEF4F7"/>
          </w:tcPr>
          <w:p>
            <w:pPr>
              <w:spacing w:after="0"/>
            </w:pPr>
            <w:r>
              <w:rPr>
                <w:sz w:val="17"/>
              </w:rPr>
              <w:t>Gaussian and Poisson noise under curved motion</w:t>
            </w:r>
          </w:p>
        </w:tc>
      </w:tr>
      <w:tr>
        <w:tc>
          <w:tcPr>
            <w:tcW w:type="dxa" w:w="3312"/>
            <w:vAlign w:val="center"/>
            <w:tcMar>
              <w:top w:w="90" w:type="dxa"/>
              <w:start w:w="110" w:type="dxa"/>
              <w:bottom w:w="90" w:type="dxa"/>
              <w:end w:w="110" w:type="dxa"/>
            </w:tcMar>
          </w:tcPr>
          <w:p>
            <w:pPr>
              <w:spacing w:after="0"/>
            </w:pPr>
            <w:r>
              <w:rPr>
                <w:sz w:val="17"/>
              </w:rPr>
              <w:t>fog figure eight</w:t>
            </w:r>
          </w:p>
        </w:tc>
        <w:tc>
          <w:tcPr>
            <w:tcW w:type="dxa" w:w="6192"/>
            <w:vAlign w:val="center"/>
            <w:tcMar>
              <w:top w:w="90" w:type="dxa"/>
              <w:start w:w="110" w:type="dxa"/>
              <w:bottom w:w="90" w:type="dxa"/>
              <w:end w:w="110" w:type="dxa"/>
            </w:tcMar>
          </w:tcPr>
          <w:p>
            <w:pPr>
              <w:spacing w:after="0"/>
            </w:pPr>
            <w:r>
              <w:rPr>
                <w:sz w:val="17"/>
              </w:rPr>
              <w:t>Low contrast blur turbulence and direction reversal</w:t>
            </w:r>
          </w:p>
        </w:tc>
      </w:tr>
      <w:tr>
        <w:tc>
          <w:tcPr>
            <w:tcW w:type="dxa" w:w="3312"/>
            <w:vAlign w:val="center"/>
            <w:tcMar>
              <w:top w:w="90" w:type="dxa"/>
              <w:start w:w="110" w:type="dxa"/>
              <w:bottom w:w="90" w:type="dxa"/>
              <w:end w:w="110" w:type="dxa"/>
            </w:tcMar>
            <w:shd w:fill="EEF4F7"/>
          </w:tcPr>
          <w:p>
            <w:pPr>
              <w:spacing w:after="0"/>
            </w:pPr>
            <w:r>
              <w:rPr>
                <w:sz w:val="17"/>
              </w:rPr>
              <w:t>jitter random</w:t>
            </w:r>
          </w:p>
        </w:tc>
        <w:tc>
          <w:tcPr>
            <w:tcW w:type="dxa" w:w="6192"/>
            <w:vAlign w:val="center"/>
            <w:tcMar>
              <w:top w:w="90" w:type="dxa"/>
              <w:start w:w="110" w:type="dxa"/>
              <w:bottom w:w="90" w:type="dxa"/>
              <w:end w:w="110" w:type="dxa"/>
            </w:tcMar>
            <w:shd w:fill="EEF4F7"/>
          </w:tcPr>
          <w:p>
            <w:pPr>
              <w:spacing w:after="0"/>
            </w:pPr>
            <w:r>
              <w:rPr>
                <w:sz w:val="17"/>
              </w:rPr>
              <w:t>Maximum jitter salt and pepper noise and random motion</w:t>
            </w:r>
          </w:p>
        </w:tc>
      </w:tr>
      <w:tr>
        <w:tc>
          <w:tcPr>
            <w:tcW w:type="dxa" w:w="3312"/>
            <w:vAlign w:val="center"/>
            <w:tcMar>
              <w:top w:w="90" w:type="dxa"/>
              <w:start w:w="110" w:type="dxa"/>
              <w:bottom w:w="90" w:type="dxa"/>
              <w:end w:w="110" w:type="dxa"/>
            </w:tcMar>
          </w:tcPr>
          <w:p>
            <w:pPr>
              <w:spacing w:after="0"/>
            </w:pPr>
            <w:r>
              <w:rPr>
                <w:sz w:val="17"/>
              </w:rPr>
              <w:t>reacquisition dropout</w:t>
            </w:r>
          </w:p>
        </w:tc>
        <w:tc>
          <w:tcPr>
            <w:tcW w:type="dxa" w:w="6192"/>
            <w:vAlign w:val="center"/>
            <w:tcMar>
              <w:top w:w="90" w:type="dxa"/>
              <w:start w:w="110" w:type="dxa"/>
              <w:bottom w:w="90" w:type="dxa"/>
              <w:end w:w="110" w:type="dxa"/>
            </w:tcMar>
          </w:tcPr>
          <w:p>
            <w:pPr>
              <w:spacing w:after="0"/>
            </w:pPr>
            <w:r>
              <w:rPr>
                <w:sz w:val="17"/>
              </w:rPr>
              <w:t>Timed beacon loss prediction and recovery</w:t>
            </w:r>
          </w:p>
        </w:tc>
      </w:tr>
    </w:tbl>
    <w:p/>
    <w:p>
      <w:r>
        <w:br w:type="page"/>
      </w:r>
    </w:p>
    <w:p>
      <w:pPr>
        <w:pStyle w:val="Heading1"/>
      </w:pPr>
      <w:r>
        <w:t>Recorded Media and AI</w:t>
      </w:r>
    </w:p>
    <w:p>
      <w:r>
        <w:t>Use Open recording in the desktop application or the analyze command for MP4 AVI MOV MKV PNG JPEG and image directories. Recorded media has no simulator truth, so centroid error is shown as N A while detection state and lock retention remain available.</w:t>
      </w:r>
    </w:p>
    <w:p>
      <w:pPr>
        <w:pStyle w:val="Heading2"/>
      </w:pPr>
      <w:r>
        <w:t>Command Line Analysis</w:t>
      </w:r>
    </w:p>
    <w:p>
      <w:r>
        <w:rPr>
          <w:rFonts w:ascii="Liberation Mono" w:hAnsi="Liberation Mono"/>
          <w:sz w:val="17"/>
        </w:rPr>
        <w:t>qlyraxis record configs/scenarios/fog_figure_eight.json work/fog.mp4 --frames 240</w:t>
      </w:r>
    </w:p>
    <w:p>
      <w:r>
        <w:rPr>
          <w:rFonts w:ascii="Liberation Mono" w:hAnsi="Liberation Mono"/>
          <w:sz w:val="17"/>
        </w:rPr>
        <w:t>qlyraxis analyze work/fog.mp4 --model models/beacon_verifier.onnx</w:t>
      </w:r>
    </w:p>
    <w:p>
      <w:r>
        <w:rPr>
          <w:rFonts w:ascii="Liberation Mono" w:hAnsi="Liberation Mono"/>
          <w:sz w:val="17"/>
        </w:rPr>
        <w:t>qlyraxis analyze path/to/frames --fps 30 --max-frames 300</w:t>
      </w:r>
    </w:p>
    <w:p>
      <w:r>
        <w:rPr>
          <w:rFonts w:ascii="Liberation Mono" w:hAnsi="Liberation Mono"/>
          <w:sz w:val="17"/>
        </w:rPr>
        <w:t>qlyraxis analyze work/fog.mp4 --no-ai</w:t>
      </w:r>
    </w:p>
    <w:p>
      <w:r>
        <w:t>The AI verifier is enabled by default. Use no ai only when comparing it with the classical detector. To retrain, install the training extra and run qlyraxis train-ai. The command writes NumPy weights and an ONNX model and reports held out accuracy.</w:t>
      </w:r>
    </w:p>
    <w:p>
      <w:pPr>
        <w:jc w:val="center"/>
      </w:pPr>
      <w:r>
        <w:drawing>
          <wp:inline xmlns:a="http://schemas.openxmlformats.org/drawingml/2006/main" xmlns:pic="http://schemas.openxmlformats.org/drawingml/2006/picture">
            <wp:extent cx="4114800" cy="3086100"/>
            <wp:docPr id="2" name="Picture 2" descr="Figure 2  AI verified recorded frame" title="Figure 2  AI verified recorded frame"/>
            <wp:cNvGraphicFramePr>
              <a:graphicFrameLocks noChangeAspect="1"/>
            </wp:cNvGraphicFramePr>
            <a:graphic>
              <a:graphicData uri="http://schemas.openxmlformats.org/drawingml/2006/picture">
                <pic:pic>
                  <pic:nvPicPr>
                    <pic:cNvPr id="0" name="recorded_tracking.png"/>
                    <pic:cNvPicPr/>
                  </pic:nvPicPr>
                  <pic:blipFill>
                    <a:blip r:embed="rId12"/>
                    <a:stretch>
                      <a:fillRect/>
                    </a:stretch>
                  </pic:blipFill>
                  <pic:spPr>
                    <a:xfrm>
                      <a:off x="0" y="0"/>
                      <a:ext cx="4114800" cy="3086100"/>
                    </a:xfrm>
                    <a:prstGeom prst="rect"/>
                  </pic:spPr>
                </pic:pic>
              </a:graphicData>
            </a:graphic>
          </wp:inline>
        </w:drawing>
      </w:r>
    </w:p>
    <w:p>
      <w:pPr>
        <w:pStyle w:val="Caption"/>
        <w:jc w:val="center"/>
      </w:pPr>
      <w:r>
        <w:t>Figure 2  AI verified recorded frame</w:t>
      </w:r>
    </w:p>
    <w:p>
      <w:r>
        <w:br w:type="page"/>
      </w:r>
    </w:p>
    <w:p>
      <w:pPr>
        <w:pStyle w:val="Heading1"/>
      </w:pPr>
      <w:r>
        <w:t>Reports and Benchmarking</w:t>
      </w:r>
    </w:p>
    <w:p>
      <w:r>
        <w:t>A performance export contains three matching files. CSV is suitable for spreadsheets, JSON preserves configuration summary state counts and every frame, and HTML presents a readable summary with a tracking error chart.</w:t>
      </w:r>
    </w:p>
    <w:p>
      <w:pPr>
        <w:pStyle w:val="Heading2"/>
      </w:pPr>
      <w:r>
        <w:t>Full Scenario Benchmark</w:t>
      </w:r>
    </w:p>
    <w:p>
      <w:r>
        <w:rPr>
          <w:rFonts w:ascii="Liberation Mono" w:hAnsi="Liberation Mono"/>
          <w:sz w:val="17"/>
        </w:rPr>
        <w:t>qlyraxis benchmark configs/scenarios/clear_straight.json --output-dir reports/clear</w:t>
      </w:r>
    </w:p>
    <w:p>
      <w:r>
        <w:rPr>
          <w:rFonts w:ascii="Liberation Mono" w:hAnsi="Liberation Mono"/>
          <w:sz w:val="17"/>
        </w:rPr>
        <w:t>qlyraxis benchmark configs/scenarios/reacquisition_dropout.json --output-dir reports/dropout</w:t>
      </w:r>
    </w:p>
    <w:p>
      <w:r>
        <w:rPr>
          <w:rFonts w:ascii="Liberation Mono" w:hAnsi="Liberation Mono"/>
          <w:sz w:val="17"/>
        </w:rPr>
        <w:t>python scripts/summarize_benchmarks.py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2880"/>
            <w:shd w:fill="17324D"/>
            <w:vAlign w:val="center"/>
            <w:tcMar>
              <w:top w:w="90" w:type="dxa"/>
              <w:start w:w="110" w:type="dxa"/>
              <w:bottom w:w="90" w:type="dxa"/>
              <w:end w:w="110" w:type="dxa"/>
            </w:tcMar>
          </w:tcPr>
          <w:p>
            <w:r>
              <w:rPr>
                <w:b/>
                <w:color w:val="FFFFFF"/>
                <w:sz w:val="18"/>
              </w:rPr>
              <w:t>Metric</w:t>
            </w:r>
          </w:p>
        </w:tc>
        <w:tc>
          <w:tcPr>
            <w:tcW w:type="dxa" w:w="6624"/>
            <w:shd w:fill="17324D"/>
            <w:vAlign w:val="center"/>
            <w:tcMar>
              <w:top w:w="90" w:type="dxa"/>
              <w:start w:w="110" w:type="dxa"/>
              <w:bottom w:w="90" w:type="dxa"/>
              <w:end w:w="110" w:type="dxa"/>
            </w:tcMar>
          </w:tcPr>
          <w:p>
            <w:r>
              <w:rPr>
                <w:b/>
                <w:color w:val="FFFFFF"/>
                <w:sz w:val="18"/>
              </w:rPr>
              <w:t>Interpretation</w:t>
            </w:r>
          </w:p>
        </w:tc>
      </w:tr>
      <w:tr>
        <w:tc>
          <w:tcPr>
            <w:tcW w:type="dxa" w:w="2880"/>
            <w:vAlign w:val="center"/>
            <w:tcMar>
              <w:top w:w="90" w:type="dxa"/>
              <w:start w:w="110" w:type="dxa"/>
              <w:bottom w:w="90" w:type="dxa"/>
              <w:end w:w="110" w:type="dxa"/>
            </w:tcMar>
          </w:tcPr>
          <w:p>
            <w:pPr>
              <w:spacing w:after="0"/>
            </w:pPr>
            <w:r>
              <w:rPr>
                <w:sz w:val="17"/>
              </w:rPr>
              <w:t>Acquisition time</w:t>
            </w:r>
          </w:p>
        </w:tc>
        <w:tc>
          <w:tcPr>
            <w:tcW w:type="dxa" w:w="6624"/>
            <w:vAlign w:val="center"/>
            <w:tcMar>
              <w:top w:w="90" w:type="dxa"/>
              <w:start w:w="110" w:type="dxa"/>
              <w:bottom w:w="90" w:type="dxa"/>
              <w:end w:w="110" w:type="dxa"/>
            </w:tcMar>
          </w:tcPr>
          <w:p>
            <w:pPr>
              <w:spacing w:after="0"/>
            </w:pPr>
            <w:r>
              <w:rPr>
                <w:sz w:val="17"/>
              </w:rPr>
              <w:t>First simulation timestamp in TRACK</w:t>
            </w:r>
          </w:p>
        </w:tc>
      </w:tr>
      <w:tr>
        <w:tc>
          <w:tcPr>
            <w:tcW w:type="dxa" w:w="2880"/>
            <w:vAlign w:val="center"/>
            <w:tcMar>
              <w:top w:w="90" w:type="dxa"/>
              <w:start w:w="110" w:type="dxa"/>
              <w:bottom w:w="90" w:type="dxa"/>
              <w:end w:w="110" w:type="dxa"/>
            </w:tcMar>
            <w:shd w:fill="EEF4F7"/>
          </w:tcPr>
          <w:p>
            <w:pPr>
              <w:spacing w:after="0"/>
            </w:pPr>
            <w:r>
              <w:rPr>
                <w:sz w:val="17"/>
              </w:rPr>
              <w:t>Tracking error</w:t>
            </w:r>
          </w:p>
        </w:tc>
        <w:tc>
          <w:tcPr>
            <w:tcW w:type="dxa" w:w="6624"/>
            <w:vAlign w:val="center"/>
            <w:tcMar>
              <w:top w:w="90" w:type="dxa"/>
              <w:start w:w="110" w:type="dxa"/>
              <w:bottom w:w="90" w:type="dxa"/>
              <w:end w:w="110" w:type="dxa"/>
            </w:tcMar>
            <w:shd w:fill="EEF4F7"/>
          </w:tcPr>
          <w:p>
            <w:pPr>
              <w:spacing w:after="0"/>
            </w:pPr>
            <w:r>
              <w:rPr>
                <w:sz w:val="17"/>
              </w:rPr>
              <w:t>Distance between measured centroid and transformed truth</w:t>
            </w:r>
          </w:p>
        </w:tc>
      </w:tr>
      <w:tr>
        <w:tc>
          <w:tcPr>
            <w:tcW w:type="dxa" w:w="2880"/>
            <w:vAlign w:val="center"/>
            <w:tcMar>
              <w:top w:w="90" w:type="dxa"/>
              <w:start w:w="110" w:type="dxa"/>
              <w:bottom w:w="90" w:type="dxa"/>
              <w:end w:w="110" w:type="dxa"/>
            </w:tcMar>
          </w:tcPr>
          <w:p>
            <w:pPr>
              <w:spacing w:after="0"/>
            </w:pPr>
            <w:r>
              <w:rPr>
                <w:sz w:val="17"/>
              </w:rPr>
              <w:t>Lock retention</w:t>
            </w:r>
          </w:p>
        </w:tc>
        <w:tc>
          <w:tcPr>
            <w:tcW w:type="dxa" w:w="6624"/>
            <w:vAlign w:val="center"/>
            <w:tcMar>
              <w:top w:w="90" w:type="dxa"/>
              <w:start w:w="110" w:type="dxa"/>
              <w:bottom w:w="90" w:type="dxa"/>
              <w:end w:w="110" w:type="dxa"/>
            </w:tcMar>
          </w:tcPr>
          <w:p>
            <w:pPr>
              <w:spacing w:after="0"/>
            </w:pPr>
            <w:r>
              <w:rPr>
                <w:sz w:val="17"/>
              </w:rPr>
              <w:t>TRACK or COAST frames after initial acquisition</w:t>
            </w:r>
          </w:p>
        </w:tc>
      </w:tr>
      <w:tr>
        <w:tc>
          <w:tcPr>
            <w:tcW w:type="dxa" w:w="2880"/>
            <w:vAlign w:val="center"/>
            <w:tcMar>
              <w:top w:w="90" w:type="dxa"/>
              <w:start w:w="110" w:type="dxa"/>
              <w:bottom w:w="90" w:type="dxa"/>
              <w:end w:w="110" w:type="dxa"/>
            </w:tcMar>
            <w:shd w:fill="EEF4F7"/>
          </w:tcPr>
          <w:p>
            <w:pPr>
              <w:spacing w:after="0"/>
            </w:pPr>
            <w:r>
              <w:rPr>
                <w:sz w:val="17"/>
              </w:rPr>
              <w:t>Target loss</w:t>
            </w:r>
          </w:p>
        </w:tc>
        <w:tc>
          <w:tcPr>
            <w:tcW w:type="dxa" w:w="6624"/>
            <w:vAlign w:val="center"/>
            <w:tcMar>
              <w:top w:w="90" w:type="dxa"/>
              <w:start w:w="110" w:type="dxa"/>
              <w:bottom w:w="90" w:type="dxa"/>
              <w:end w:w="110" w:type="dxa"/>
            </w:tcMar>
            <w:shd w:fill="EEF4F7"/>
          </w:tcPr>
          <w:p>
            <w:pPr>
              <w:spacing w:after="0"/>
            </w:pPr>
            <w:r>
              <w:rPr>
                <w:sz w:val="17"/>
              </w:rPr>
              <w:t>One hundred minus lock retention</w:t>
            </w:r>
          </w:p>
        </w:tc>
      </w:tr>
      <w:tr>
        <w:tc>
          <w:tcPr>
            <w:tcW w:type="dxa" w:w="2880"/>
            <w:vAlign w:val="center"/>
            <w:tcMar>
              <w:top w:w="90" w:type="dxa"/>
              <w:start w:w="110" w:type="dxa"/>
              <w:bottom w:w="90" w:type="dxa"/>
              <w:end w:w="110" w:type="dxa"/>
            </w:tcMar>
          </w:tcPr>
          <w:p>
            <w:pPr>
              <w:spacing w:after="0"/>
            </w:pPr>
            <w:r>
              <w:rPr>
                <w:sz w:val="17"/>
              </w:rPr>
              <w:t>Reacquisition time</w:t>
            </w:r>
          </w:p>
        </w:tc>
        <w:tc>
          <w:tcPr>
            <w:tcW w:type="dxa" w:w="6624"/>
            <w:vAlign w:val="center"/>
            <w:tcMar>
              <w:top w:w="90" w:type="dxa"/>
              <w:start w:w="110" w:type="dxa"/>
              <w:bottom w:w="90" w:type="dxa"/>
              <w:end w:w="110" w:type="dxa"/>
            </w:tcMar>
          </w:tcPr>
          <w:p>
            <w:pPr>
              <w:spacing w:after="0"/>
            </w:pPr>
            <w:r>
              <w:rPr>
                <w:sz w:val="17"/>
              </w:rPr>
              <w:t>Elapsed time from REACQUIRE to restored TRACK</w:t>
            </w:r>
          </w:p>
        </w:tc>
      </w:tr>
      <w:tr>
        <w:tc>
          <w:tcPr>
            <w:tcW w:type="dxa" w:w="2880"/>
            <w:vAlign w:val="center"/>
            <w:tcMar>
              <w:top w:w="90" w:type="dxa"/>
              <w:start w:w="110" w:type="dxa"/>
              <w:bottom w:w="90" w:type="dxa"/>
              <w:end w:w="110" w:type="dxa"/>
            </w:tcMar>
            <w:shd w:fill="EEF4F7"/>
          </w:tcPr>
          <w:p>
            <w:pPr>
              <w:spacing w:after="0"/>
            </w:pPr>
            <w:r>
              <w:rPr>
                <w:sz w:val="17"/>
              </w:rPr>
              <w:t>Processing FPS</w:t>
            </w:r>
          </w:p>
        </w:tc>
        <w:tc>
          <w:tcPr>
            <w:tcW w:type="dxa" w:w="6624"/>
            <w:vAlign w:val="center"/>
            <w:tcMar>
              <w:top w:w="90" w:type="dxa"/>
              <w:start w:w="110" w:type="dxa"/>
              <w:bottom w:w="90" w:type="dxa"/>
              <w:end w:w="110" w:type="dxa"/>
            </w:tcMar>
            <w:shd w:fill="EEF4F7"/>
          </w:tcPr>
          <w:p>
            <w:pPr>
              <w:spacing w:after="0"/>
            </w:pPr>
            <w:r>
              <w:rPr>
                <w:sz w:val="17"/>
              </w:rPr>
              <w:t>Inverse of average measured frame processing time</w:t>
            </w:r>
          </w:p>
        </w:tc>
      </w:tr>
    </w:tbl>
    <w:p/>
    <w:p>
      <w:r>
        <w:br w:type="page"/>
      </w:r>
    </w:p>
    <w:p>
      <w:pPr>
        <w:pStyle w:val="Heading1"/>
      </w:pPr>
      <w:r>
        <w:t>Troubleshooting and Submission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3096"/>
            <w:shd w:fill="17324D"/>
            <w:vAlign w:val="center"/>
            <w:tcMar>
              <w:top w:w="90" w:type="dxa"/>
              <w:start w:w="110" w:type="dxa"/>
              <w:bottom w:w="90" w:type="dxa"/>
              <w:end w:w="110" w:type="dxa"/>
            </w:tcMar>
          </w:tcPr>
          <w:p>
            <w:r>
              <w:rPr>
                <w:b/>
                <w:color w:val="FFFFFF"/>
                <w:sz w:val="18"/>
              </w:rPr>
              <w:t>Symptom</w:t>
            </w:r>
          </w:p>
        </w:tc>
        <w:tc>
          <w:tcPr>
            <w:tcW w:type="dxa" w:w="6408"/>
            <w:shd w:fill="17324D"/>
            <w:vAlign w:val="center"/>
            <w:tcMar>
              <w:top w:w="90" w:type="dxa"/>
              <w:start w:w="110" w:type="dxa"/>
              <w:bottom w:w="90" w:type="dxa"/>
              <w:end w:w="110" w:type="dxa"/>
            </w:tcMar>
          </w:tcPr>
          <w:p>
            <w:r>
              <w:rPr>
                <w:b/>
                <w:color w:val="FFFFFF"/>
                <w:sz w:val="18"/>
              </w:rPr>
              <w:t>Resolution</w:t>
            </w:r>
          </w:p>
        </w:tc>
      </w:tr>
      <w:tr>
        <w:tc>
          <w:tcPr>
            <w:tcW w:type="dxa" w:w="3096"/>
            <w:vAlign w:val="center"/>
            <w:tcMar>
              <w:top w:w="90" w:type="dxa"/>
              <w:start w:w="110" w:type="dxa"/>
              <w:bottom w:w="90" w:type="dxa"/>
              <w:end w:w="110" w:type="dxa"/>
            </w:tcMar>
          </w:tcPr>
          <w:p>
            <w:pPr>
              <w:spacing w:after="0"/>
            </w:pPr>
            <w:r>
              <w:rPr>
                <w:sz w:val="17"/>
              </w:rPr>
              <w:t>GUI does not open</w:t>
            </w:r>
          </w:p>
        </w:tc>
        <w:tc>
          <w:tcPr>
            <w:tcW w:type="dxa" w:w="6408"/>
            <w:vAlign w:val="center"/>
            <w:tcMar>
              <w:top w:w="90" w:type="dxa"/>
              <w:start w:w="110" w:type="dxa"/>
              <w:bottom w:w="90" w:type="dxa"/>
              <w:end w:w="110" w:type="dxa"/>
            </w:tcMar>
          </w:tcPr>
          <w:p>
            <w:pPr>
              <w:spacing w:after="0"/>
            </w:pPr>
            <w:r>
              <w:rPr>
                <w:sz w:val="17"/>
              </w:rPr>
              <w:t>Confirm a desktop display is available and Tk is installed</w:t>
            </w:r>
          </w:p>
        </w:tc>
      </w:tr>
      <w:tr>
        <w:tc>
          <w:tcPr>
            <w:tcW w:type="dxa" w:w="3096"/>
            <w:vAlign w:val="center"/>
            <w:tcMar>
              <w:top w:w="90" w:type="dxa"/>
              <w:start w:w="110" w:type="dxa"/>
              <w:bottom w:w="90" w:type="dxa"/>
              <w:end w:w="110" w:type="dxa"/>
            </w:tcMar>
            <w:shd w:fill="EEF4F7"/>
          </w:tcPr>
          <w:p>
            <w:pPr>
              <w:spacing w:after="0"/>
            </w:pPr>
            <w:r>
              <w:rPr>
                <w:sz w:val="17"/>
              </w:rPr>
              <w:t>Model not found</w:t>
            </w:r>
          </w:p>
        </w:tc>
        <w:tc>
          <w:tcPr>
            <w:tcW w:type="dxa" w:w="6408"/>
            <w:vAlign w:val="center"/>
            <w:tcMar>
              <w:top w:w="90" w:type="dxa"/>
              <w:start w:w="110" w:type="dxa"/>
              <w:bottom w:w="90" w:type="dxa"/>
              <w:end w:w="110" w:type="dxa"/>
            </w:tcMar>
            <w:shd w:fill="EEF4F7"/>
          </w:tcPr>
          <w:p>
            <w:pPr>
              <w:spacing w:after="0"/>
            </w:pPr>
            <w:r>
              <w:rPr>
                <w:sz w:val="17"/>
              </w:rPr>
              <w:t>Run from the repository root or pass model with an absolute path</w:t>
            </w:r>
          </w:p>
        </w:tc>
      </w:tr>
      <w:tr>
        <w:tc>
          <w:tcPr>
            <w:tcW w:type="dxa" w:w="3096"/>
            <w:vAlign w:val="center"/>
            <w:tcMar>
              <w:top w:w="90" w:type="dxa"/>
              <w:start w:w="110" w:type="dxa"/>
              <w:bottom w:w="90" w:type="dxa"/>
              <w:end w:w="110" w:type="dxa"/>
            </w:tcMar>
          </w:tcPr>
          <w:p>
            <w:pPr>
              <w:spacing w:after="0"/>
            </w:pPr>
            <w:r>
              <w:rPr>
                <w:sz w:val="17"/>
              </w:rPr>
              <w:t>Video does not decode</w:t>
            </w:r>
          </w:p>
        </w:tc>
        <w:tc>
          <w:tcPr>
            <w:tcW w:type="dxa" w:w="6408"/>
            <w:vAlign w:val="center"/>
            <w:tcMar>
              <w:top w:w="90" w:type="dxa"/>
              <w:start w:w="110" w:type="dxa"/>
              <w:bottom w:w="90" w:type="dxa"/>
              <w:end w:w="110" w:type="dxa"/>
            </w:tcMar>
          </w:tcPr>
          <w:p>
            <w:pPr>
              <w:spacing w:after="0"/>
            </w:pPr>
            <w:r>
              <w:rPr>
                <w:sz w:val="17"/>
              </w:rPr>
              <w:t>Convert it to MP4 with H264 or MPEG4 and retry</w:t>
            </w:r>
          </w:p>
        </w:tc>
      </w:tr>
      <w:tr>
        <w:tc>
          <w:tcPr>
            <w:tcW w:type="dxa" w:w="3096"/>
            <w:vAlign w:val="center"/>
            <w:tcMar>
              <w:top w:w="90" w:type="dxa"/>
              <w:start w:w="110" w:type="dxa"/>
              <w:bottom w:w="90" w:type="dxa"/>
              <w:end w:w="110" w:type="dxa"/>
            </w:tcMar>
            <w:shd w:fill="EEF4F7"/>
          </w:tcPr>
          <w:p>
            <w:pPr>
              <w:spacing w:after="0"/>
            </w:pPr>
            <w:r>
              <w:rPr>
                <w:sz w:val="17"/>
              </w:rPr>
              <w:t>No beacon is detected</w:t>
            </w:r>
          </w:p>
        </w:tc>
        <w:tc>
          <w:tcPr>
            <w:tcW w:type="dxa" w:w="6408"/>
            <w:vAlign w:val="center"/>
            <w:tcMar>
              <w:top w:w="90" w:type="dxa"/>
              <w:start w:w="110" w:type="dxa"/>
              <w:bottom w:w="90" w:type="dxa"/>
              <w:end w:w="110" w:type="dxa"/>
            </w:tcMar>
            <w:shd w:fill="EEF4F7"/>
          </w:tcPr>
          <w:p>
            <w:pPr>
              <w:spacing w:after="0"/>
            </w:pPr>
            <w:r>
              <w:rPr>
                <w:sz w:val="17"/>
              </w:rPr>
              <w:t>Check contrast target size and detector thresholds then compare no ai</w:t>
            </w:r>
          </w:p>
        </w:tc>
      </w:tr>
      <w:tr>
        <w:tc>
          <w:tcPr>
            <w:tcW w:type="dxa" w:w="3096"/>
            <w:vAlign w:val="center"/>
            <w:tcMar>
              <w:top w:w="90" w:type="dxa"/>
              <w:start w:w="110" w:type="dxa"/>
              <w:bottom w:w="90" w:type="dxa"/>
              <w:end w:w="110" w:type="dxa"/>
            </w:tcMar>
          </w:tcPr>
          <w:p>
            <w:pPr>
              <w:spacing w:after="0"/>
            </w:pPr>
            <w:r>
              <w:rPr>
                <w:sz w:val="17"/>
              </w:rPr>
              <w:t>FPS is below target</w:t>
            </w:r>
          </w:p>
        </w:tc>
        <w:tc>
          <w:tcPr>
            <w:tcW w:type="dxa" w:w="6408"/>
            <w:vAlign w:val="center"/>
            <w:tcMar>
              <w:top w:w="90" w:type="dxa"/>
              <w:start w:w="110" w:type="dxa"/>
              <w:bottom w:w="90" w:type="dxa"/>
              <w:end w:w="110" w:type="dxa"/>
            </w:tcMar>
          </w:tcPr>
          <w:p>
            <w:pPr>
              <w:spacing w:after="0"/>
            </w:pPr>
            <w:r>
              <w:rPr>
                <w:sz w:val="17"/>
              </w:rPr>
              <w:t>Close other workloads reduce frame size or use the classical comparison mode</w:t>
            </w:r>
          </w:p>
        </w:tc>
      </w:tr>
      <w:tr>
        <w:tc>
          <w:tcPr>
            <w:tcW w:type="dxa" w:w="3096"/>
            <w:vAlign w:val="center"/>
            <w:tcMar>
              <w:top w:w="90" w:type="dxa"/>
              <w:start w:w="110" w:type="dxa"/>
              <w:bottom w:w="90" w:type="dxa"/>
              <w:end w:w="110" w:type="dxa"/>
            </w:tcMar>
            <w:shd w:fill="EEF4F7"/>
          </w:tcPr>
          <w:p>
            <w:pPr>
              <w:spacing w:after="0"/>
            </w:pPr>
            <w:r>
              <w:rPr>
                <w:sz w:val="17"/>
              </w:rPr>
              <w:t>Training export fails</w:t>
            </w:r>
          </w:p>
        </w:tc>
        <w:tc>
          <w:tcPr>
            <w:tcW w:type="dxa" w:w="6408"/>
            <w:vAlign w:val="center"/>
            <w:tcMar>
              <w:top w:w="90" w:type="dxa"/>
              <w:start w:w="110" w:type="dxa"/>
              <w:bottom w:w="90" w:type="dxa"/>
              <w:end w:w="110" w:type="dxa"/>
            </w:tcMar>
            <w:shd w:fill="EEF4F7"/>
          </w:tcPr>
          <w:p>
            <w:pPr>
              <w:spacing w:after="0"/>
            </w:pPr>
            <w:r>
              <w:rPr>
                <w:sz w:val="17"/>
              </w:rPr>
              <w:t>Install the training extra which provides ONNX</w:t>
            </w:r>
          </w:p>
        </w:tc>
      </w:tr>
      <w:tr>
        <w:tc>
          <w:tcPr>
            <w:tcW w:type="dxa" w:w="3096"/>
            <w:vAlign w:val="center"/>
            <w:tcMar>
              <w:top w:w="90" w:type="dxa"/>
              <w:start w:w="110" w:type="dxa"/>
              <w:bottom w:w="90" w:type="dxa"/>
              <w:end w:w="110" w:type="dxa"/>
            </w:tcMar>
          </w:tcPr>
          <w:p>
            <w:pPr>
              <w:spacing w:after="0"/>
            </w:pPr>
            <w:r>
              <w:rPr>
                <w:sz w:val="17"/>
              </w:rPr>
              <w:t>Packaged GUI cannot load Tk</w:t>
            </w:r>
          </w:p>
        </w:tc>
        <w:tc>
          <w:tcPr>
            <w:tcW w:type="dxa" w:w="6408"/>
            <w:vAlign w:val="center"/>
            <w:tcMar>
              <w:top w:w="90" w:type="dxa"/>
              <w:start w:w="110" w:type="dxa"/>
              <w:bottom w:w="90" w:type="dxa"/>
              <w:end w:w="110" w:type="dxa"/>
            </w:tcMar>
          </w:tcPr>
          <w:p>
            <w:pPr>
              <w:spacing w:after="0"/>
            </w:pPr>
            <w:r>
              <w:rPr>
                <w:sz w:val="17"/>
              </w:rPr>
              <w:t>Rebuild with the supplied spec so Tcl Tk libraries are included</w:t>
            </w:r>
          </w:p>
        </w:tc>
      </w:tr>
    </w:tbl>
    <w:p/>
    <w:p>
      <w:pPr>
        <w:pStyle w:val="Heading2"/>
      </w:pPr>
      <w:r>
        <w:t>Submission Contents</w:t>
      </w:r>
    </w:p>
    <w:p>
      <w:pPr>
        <w:pStyle w:val="ListBullet"/>
      </w:pPr>
      <w:r>
        <w:t>Source repository with modular documented code</w:t>
      </w:r>
    </w:p>
    <w:p>
      <w:pPr>
        <w:pStyle w:val="ListBullet"/>
      </w:pPr>
      <w:r>
        <w:t>Packaged application folder for the target operating system</w:t>
      </w:r>
    </w:p>
    <w:p>
      <w:pPr>
        <w:pStyle w:val="ListBullet"/>
      </w:pPr>
      <w:r>
        <w:t>Technical report and this user manual</w:t>
      </w:r>
    </w:p>
    <w:p>
      <w:pPr>
        <w:pStyle w:val="ListBullet"/>
      </w:pPr>
      <w:r>
        <w:t>Five scenario performance logs and compact benchmark summary</w:t>
      </w:r>
    </w:p>
    <w:p>
      <w:pPr>
        <w:pStyle w:val="ListBullet"/>
      </w:pPr>
      <w:r>
        <w:t>Optional demonstration video and presentation deck</w:t>
      </w:r>
    </w:p>
    <w:p>
      <w:r>
        <w:t>Before submission run the full automated test suite, repeat the benchmark command on the submission computer, open each HTML report, and launch the packaged GUI once from a copied folder.</w:t>
      </w: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4525C"/>
      </w:rPr>
      <w:t>QLYRAXIS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91F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6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