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b w:val="1"/>
          <w:color w:val="000000"/>
          <w:sz w:val="28"/>
          <w:szCs w:val="28"/>
          <w:rtl w:val="0"/>
        </w:rPr>
        <w:t xml:space="preserve">Mobile Application Security Assessment for a Private Sector Bank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Mobile Banking Application &amp; Backend Server Security Controls</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Governance &amp; Policy</w:t>
      </w:r>
    </w:p>
    <w:tbl>
      <w:tblPr>
        <w:tblStyle w:val="Table1"/>
        <w:tblW w:w="9021.0" w:type="dxa"/>
        <w:jc w:val="left"/>
        <w:tblLayout w:type="fixed"/>
        <w:tblLook w:val="0400"/>
      </w:tblPr>
      <w:tblGrid>
        <w:gridCol w:w="3691"/>
        <w:gridCol w:w="794"/>
        <w:gridCol w:w="4536"/>
        <w:tblGridChange w:id="0">
          <w:tblGrid>
            <w:gridCol w:w="3691"/>
            <w:gridCol w:w="794"/>
            <w:gridCol w:w="453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 Item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 / Findings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mobile application security policy approved by senior management?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 were business-driven, but no evidence of a formal security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policy reviewed and updated at least annually?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mention of a structured annual review process for mobile application security.</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roles and responsibilities for mobile app security clearly defined?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Brigade consultants engaged with client IT teams; roles for developers and security testers were clear.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backup/alternate governance plan for app security?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alternate governance structure identified for mobile app security transition phases.</w:t>
            </w:r>
          </w:p>
        </w:tc>
      </w:tr>
    </w:tbl>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Mobile Security Program Design</w:t>
      </w:r>
    </w:p>
    <w:tbl>
      <w:tblPr>
        <w:tblStyle w:val="Table2"/>
        <w:tblW w:w="9026.0" w:type="dxa"/>
        <w:jc w:val="left"/>
        <w:tblLayout w:type="fixed"/>
        <w:tblLook w:val="0400"/>
      </w:tblPr>
      <w:tblGrid>
        <w:gridCol w:w="4049"/>
        <w:gridCol w:w="794"/>
        <w:gridCol w:w="4183"/>
        <w:tblGridChange w:id="0">
          <w:tblGrid>
            <w:gridCol w:w="4049"/>
            <w:gridCol w:w="794"/>
            <w:gridCol w:w="418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 Item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 / Findings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structured onboarding process for new mobile app features/security technologies?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EDITE framework guided testing, but ongoing onboarding processes were not mentioned.</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penetration tests or vulnerability scans included?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engineering, exploitation, and VAPT were conducted.</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role-based access control (RBAC) in place for the application?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existed, but exploitation showed vulnerabilities that bypassed controls.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security updated regularly to address new mobile threats?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evidence of a continuous update process; vulnerabilities were found on both app and server side.</w:t>
            </w:r>
          </w:p>
        </w:tc>
      </w:tr>
    </w:tbl>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Mobile Security Implementation &amp; Operations</w:t>
      </w:r>
    </w:p>
    <w:tbl>
      <w:tblPr>
        <w:tblStyle w:val="Table3"/>
        <w:tblW w:w="9026.0" w:type="dxa"/>
        <w:jc w:val="left"/>
        <w:tblLayout w:type="fixed"/>
        <w:tblLook w:val="0400"/>
      </w:tblPr>
      <w:tblGrid>
        <w:gridCol w:w="4368"/>
        <w:gridCol w:w="794"/>
        <w:gridCol w:w="3864"/>
        <w:tblGridChange w:id="0">
          <w:tblGrid>
            <w:gridCol w:w="4368"/>
            <w:gridCol w:w="794"/>
            <w:gridCol w:w="386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 Item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 / Findings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security tools like code obfuscation, anti-reverse engineering, and secure APIs deployed?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engineering revealed weak protections; backend server exploitable.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encryption enforced for sensitive data in transit and at rest?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protections existed, but vulnerabilities exposed customer data risks.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patch management and updates enforced regularly?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mention of structured patch/update cycles for the app or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24/7 monitoring of critical mobile app assets?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monitoring framework mentioned; focus was on one-time penetration test.</w:t>
            </w:r>
          </w:p>
        </w:tc>
      </w:tr>
    </w:tbl>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Incident Response &amp; Compliance</w:t>
      </w:r>
    </w:p>
    <w:tbl>
      <w:tblPr>
        <w:tblStyle w:val="Table4"/>
        <w:tblW w:w="9026.0" w:type="dxa"/>
        <w:jc w:val="left"/>
        <w:tblLayout w:type="fixed"/>
        <w:tblLook w:val="0400"/>
      </w:tblPr>
      <w:tblGrid>
        <w:gridCol w:w="3878"/>
        <w:gridCol w:w="794"/>
        <w:gridCol w:w="4354"/>
        <w:tblGridChange w:id="0">
          <w:tblGrid>
            <w:gridCol w:w="3878"/>
            <w:gridCol w:w="794"/>
            <w:gridCol w:w="435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 Item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 / Findings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 incident response (IR) plan for mobile app breaches?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highlighted in the case study.</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incidents logged, escalated, and resolved with timelines?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revealed vulnerabilities, but no logging/escalation process described.</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compliance with regulations (e.g., RBI, PCI-DSS, ISO 27001) ensured?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mentioned compliance advantage, but no direct audit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non-compliance cases handled with penalties?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enforcement mechanisms documented.</w:t>
            </w:r>
          </w:p>
        </w:tc>
      </w:tr>
    </w:tbl>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Post-Security Evaluation</w:t>
      </w:r>
    </w:p>
    <w:tbl>
      <w:tblPr>
        <w:tblStyle w:val="Table5"/>
        <w:tblW w:w="9026.0" w:type="dxa"/>
        <w:jc w:val="left"/>
        <w:tblLayout w:type="fixed"/>
        <w:tblLook w:val="0400"/>
      </w:tblPr>
      <w:tblGrid>
        <w:gridCol w:w="4375"/>
        <w:gridCol w:w="794"/>
        <w:gridCol w:w="3857"/>
        <w:tblGridChange w:id="0">
          <w:tblGrid>
            <w:gridCol w:w="4375"/>
            <w:gridCol w:w="794"/>
            <w:gridCol w:w="385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 Item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 / Findings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security effectiveness measured with KPIs (e.g., # of vulnerabilities, patch timelines)?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evidence of KPIs; only audit deliverables (reports, tracker) were provided.</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continuous improvement plan based on incidents?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structured improvement process mentioned beyond initial remediation.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lessons learned shared across teams/projects?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indication of cross-team learning; findings stayed within the project scope.</w:t>
            </w:r>
          </w:p>
        </w:tc>
      </w:tr>
    </w:tbl>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Gaps &amp; Recommendations</w:t>
      </w:r>
    </w:p>
    <w:tbl>
      <w:tblPr>
        <w:tblStyle w:val="Table6"/>
        <w:tblW w:w="9026.0" w:type="dxa"/>
        <w:jc w:val="left"/>
        <w:tblLayout w:type="fixed"/>
        <w:tblLook w:val="0400"/>
      </w:tblPr>
      <w:tblGrid>
        <w:gridCol w:w="2570"/>
        <w:gridCol w:w="2855"/>
        <w:gridCol w:w="3601"/>
        <w:tblGridChange w:id="0">
          <w:tblGrid>
            <w:gridCol w:w="2570"/>
            <w:gridCol w:w="2855"/>
            <w:gridCol w:w="3601"/>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Gap Identified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 Impact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formalized mobile application security policy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ad-hoc security practices and compliance gaps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documented mobile app security policy with management 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structured annual review</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may become outdated, leading to exposure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annual review and update cycle for mobile app security.</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anti-reverse engineering &amp; secure coding practices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attackers exploiting vulnerabilities and accessing backend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secure coding standards, obfuscation, and code review practices.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patch/update management for app &amp; backend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unpatched vulnerabilities exploited by attackers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periodic patch management and mobile app update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incident response or monitoring framework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delayed detection &amp; response to attacks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an IR plan and 24/7 monitoring with logging and alerting.</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continuous improvement &amp; KPI tracking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maturity remains low</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security KPIs and establish lessons-learned integration for future projects.</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Conclusion:</w:t>
      </w:r>
    </w:p>
    <w:p w:rsidR="00000000" w:rsidDel="00000000" w:rsidP="00000000" w:rsidRDefault="00000000" w:rsidRPr="00000000" w14:paraId="00000070">
      <w:pPr>
        <w:rPr/>
      </w:pPr>
      <w:r w:rsidDel="00000000" w:rsidR="00000000" w:rsidRPr="00000000">
        <w:rPr>
          <w:rtl w:val="0"/>
        </w:rPr>
        <w:t xml:space="preserve">The audit highlighted critical vulnerabilities in the bank’s mobile app and backend, posing risks of data breaches and compliance failures. Implementing the recommendations will enhance security posture, customer trust, and regulatory compliance.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5774B"/>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apple-tab-span" w:customStyle="1">
    <w:name w:val="apple-tab-span"/>
    <w:basedOn w:val="DefaultParagraphFont"/>
    <w:rsid w:val="00D5774B"/>
  </w:style>
  <w:style w:type="character" w:styleId="Heading3Char" w:customStyle="1">
    <w:name w:val="Heading 3 Char"/>
    <w:basedOn w:val="DefaultParagraphFont"/>
    <w:link w:val="Heading3"/>
    <w:uiPriority w:val="9"/>
    <w:rsid w:val="00D5774B"/>
    <w:rPr>
      <w:rFonts w:ascii="Times New Roman" w:cs="Times New Roman" w:eastAsia="Times New Roman" w:hAnsi="Times New Roman"/>
      <w:b w:val="1"/>
      <w:bCs w:val="1"/>
      <w:sz w:val="27"/>
      <w:szCs w:val="27"/>
      <w:lang w:eastAsia="en-IN"/>
    </w:rPr>
  </w:style>
  <w:style w:type="character" w:styleId="Strong">
    <w:name w:val="Strong"/>
    <w:basedOn w:val="DefaultParagraphFont"/>
    <w:uiPriority w:val="22"/>
    <w:qFormat w:val="1"/>
    <w:rsid w:val="00D5774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fKAxU8tUiD3UUI2zPGba7PKcg==">CgMxLjA4AHIhMVJiSm5tX1B3MnAyeE9haXBUbkFqdnRLMjNQVUFXZVVs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2025-09-11T21:23:00Z</dcterms:created>
  <dc:creator>Admin</dc:creator>
</cp:coreProperties>
</file>