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0" w:line="331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19425" cy="766763"/>
            <wp:effectExtent b="0" l="0" r="0" t="0"/>
            <wp:docPr descr="MIT Alandi.png" id="1" name="image1.png"/>
            <a:graphic>
              <a:graphicData uri="http://schemas.openxmlformats.org/drawingml/2006/picture">
                <pic:pic>
                  <pic:nvPicPr>
                    <pic:cNvPr descr="MIT Alandi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6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of Computer Science &amp; Application</w:t>
        <w:br w:type="textWrapping"/>
        <w:t xml:space="preserve">Department of Design, Analytics and Cyber Security</w:t>
      </w:r>
    </w:p>
    <w:p w:rsidR="00000000" w:rsidDel="00000000" w:rsidP="00000000" w:rsidRDefault="00000000" w:rsidRPr="00000000" w14:paraId="00000003">
      <w:pPr>
        <w:widowControl w:val="0"/>
        <w:spacing w:before="7" w:line="240" w:lineRule="auto"/>
        <w:ind w:left="1530" w:right="147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T. Y. BSc Cyber and Digital Science </w:t>
      </w:r>
    </w:p>
    <w:p w:rsidR="00000000" w:rsidDel="00000000" w:rsidP="00000000" w:rsidRDefault="00000000" w:rsidRPr="00000000" w14:paraId="00000004">
      <w:pPr>
        <w:widowControl w:val="0"/>
        <w:spacing w:before="29" w:line="240" w:lineRule="auto"/>
        <w:ind w:left="1530" w:right="147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Year 2025–2026</w:t>
      </w:r>
    </w:p>
    <w:p w:rsidR="00000000" w:rsidDel="00000000" w:rsidP="00000000" w:rsidRDefault="00000000" w:rsidRPr="00000000" w14:paraId="00000005">
      <w:pPr>
        <w:widowControl w:val="0"/>
        <w:spacing w:before="29" w:line="240" w:lineRule="auto"/>
        <w:ind w:left="1530" w:right="147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Information Security policy and Audit </w:t>
        <w:br w:type="textWrapping"/>
        <w:t xml:space="preserve">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Information Security Audit   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a2p4vdcfc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and strengthen an organization’s resilience against </w:t>
      </w:r>
      <w:r w:rsidDel="00000000" w:rsidR="00000000" w:rsidRPr="00000000">
        <w:rPr>
          <w:b w:val="1"/>
          <w:bCs w:val="1"/>
          <w:rtl w:val="0"/>
        </w:rPr>
        <w:t xml:space="preserve">social engineering attacks</w:t>
      </w:r>
      <w:r w:rsidDel="00000000" w:rsidR="00000000" w:rsidRPr="00000000">
        <w:rPr>
          <w:rtl w:val="0"/>
        </w:rPr>
        <w:t xml:space="preserve"> (phishing, pretexting, vishing, tailgating, etc.) by simulating real-world scenarios, identifying vulnerabilities, and providing actionable recommendations.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eih8r5xi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all employees, contractors, vendors, and stakeholders with access to company systems, facilities, or confidential information. The assessment covers email phishing, malicious websites, and other human-factor exploitation attempts.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052q8ivg8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Policy Objectives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employee awareness and response to social engineering threats.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weaknesses in human and technical controls.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actionable remediation steps.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compliance with industry regulations and security standards.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4dneh72gi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Implementation Process Flow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assessment scope (phishing, website cloning, pretexting scenarios).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controlled social engineering tests (emails, calls, physical attempts).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response data and employee behavior patterns.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results and identify vulnerabilities.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detailed report with recommendations.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three months of post-audit support for remediation.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mtbpkb4j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Roles and Responsibilities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Altius IT Audit Team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Certified Information Systems Auditor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Experienced Project Manager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Senior Security Engineer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Management</w:t>
      </w:r>
      <w:r w:rsidDel="00000000" w:rsidR="00000000" w:rsidRPr="00000000">
        <w:rPr>
          <w:rtl w:val="0"/>
        </w:rPr>
        <w:t xml:space="preserve">: Approve engagement, allocate resources, enforce policies.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: Participate in training, remain vigilant, and report suspicious activity.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ohydrubi5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Program Components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Simulated phishing emails &amp; fake websites.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education &amp; awareness testing.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audit reports with recommendations.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Post-assessment support (3 months).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&amp; best practices from prior clients.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am594r4kf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Governance &amp; Policy Audit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6.805111821086"/>
        <w:gridCol w:w="932.0127795527156"/>
        <w:gridCol w:w="4311.182108626198"/>
        <w:tblGridChange w:id="0">
          <w:tblGrid>
            <w:gridCol w:w="4116.805111821086"/>
            <w:gridCol w:w="932.0127795527156"/>
            <w:gridCol w:w="4311.1821086261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Is a Data Protection Officer appointed?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Assessment uses CISA-certified auditors, but DPO is not standard.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Is GDPR compliance formally approved by top management?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Reports help compliance, but no explicit GDPR governance.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Are policies reviewed annually?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Social engineering updates not consistently reviewed.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Is vendor GDPR compliance monitored?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Vendor focus not explicitly included.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faxwa74ub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Compliance Program Design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7.312"/>
        <w:gridCol w:w="933.5039999999999"/>
        <w:gridCol w:w="3629.1839999999997"/>
        <w:tblGridChange w:id="0">
          <w:tblGrid>
            <w:gridCol w:w="4797.312"/>
            <w:gridCol w:w="933.5039999999999"/>
            <w:gridCol w:w="3629.18399999999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Does the program include data subject rights processes?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Supports compliance indirectly through reporting.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Is consent management GDPR-compliant?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Not part of social engineering focus.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Are cross-border transfers secured under SCCs or other mechanisms?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Outside assessment’s scope.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Is data retention clearly defined?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 retention schedules stated.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8o741xhk8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Compliance Delivery &amp; Tracking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1.9488817891374"/>
        <w:gridCol w:w="932.0127795527156"/>
        <w:gridCol w:w="4356.038338658147"/>
        <w:tblGridChange w:id="0">
          <w:tblGrid>
            <w:gridCol w:w="4071.9488817891374"/>
            <w:gridCol w:w="932.0127795527156"/>
            <w:gridCol w:w="4356.0383386581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Is breach notification within 72 hours?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Not tested under this program.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Are privacy notices user-friendly and transparent?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Reports are detailed, but notices not focus area.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Is employee training mandatory?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Awareness tested but not always enforced org-wide.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Are compliance records maintained?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insufficient without client follow-up.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whdx6hpg5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Post-Training Evaluation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2.907348242811"/>
        <w:gridCol w:w="932.0127795527156"/>
        <w:gridCol w:w="4655.079872204473"/>
        <w:tblGridChange w:id="0">
          <w:tblGrid>
            <w:gridCol w:w="3772.907348242811"/>
            <w:gridCol w:w="932.0127795527156"/>
            <w:gridCol w:w="4655.0798722044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Is compliance effectiveness measured with KPIs?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KPIs not built into assessment.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Are lessons learned fed into compliance updates?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Reports provide recommendations, updates depend on client.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Is there a continuous improvement plan?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 structured cycle beyond post-assessment support.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z3z4y9hvj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Gaps &amp; Recommendations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6.549520766773"/>
        <w:gridCol w:w="3115.0159744408943"/>
        <w:gridCol w:w="3608.4345047923316"/>
        <w:tblGridChange w:id="0">
          <w:tblGrid>
            <w:gridCol w:w="2636.549520766773"/>
            <w:gridCol w:w="3115.0159744408943"/>
            <w:gridCol w:w="3608.43450479233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/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Lack of DPO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Regulatory non-compliance (EU firms)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Appoint DPO or EU representative.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Weak consent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Processing may be invalid under GDPR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Implement explicit consent controls.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 72-hour breach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Fines, reputational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Adopt GDPR-aligned incident response.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Insufficient vendor 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Third-party exploitation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Extend audits to vendors.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Over-retention of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Legal &amp; regulatory fines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Define/enforce retention policies.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Poor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Hard to prove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Maintain audit logs &amp; compliance records.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Training not 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High employee vulnerability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Mandate annual security awareness training.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