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331"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19425" cy="766763"/>
            <wp:effectExtent b="0" l="0" r="0" t="0"/>
            <wp:docPr descr="MIT Alandi.png" id="1" name="image1.png"/>
            <a:graphic>
              <a:graphicData uri="http://schemas.openxmlformats.org/drawingml/2006/picture">
                <pic:pic>
                  <pic:nvPicPr>
                    <pic:cNvPr descr="MIT Alandi.png" id="0" name="image1.png"/>
                    <pic:cNvPicPr preferRelativeResize="0"/>
                  </pic:nvPicPr>
                  <pic:blipFill>
                    <a:blip r:embed="rId6"/>
                    <a:srcRect b="0" l="0" r="0" t="0"/>
                    <a:stretch>
                      <a:fillRect/>
                    </a:stretch>
                  </pic:blipFill>
                  <pic:spPr>
                    <a:xfrm>
                      <a:off x="0" y="0"/>
                      <a:ext cx="3019425"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of Computer Science &amp; Application</w:t>
        <w:br w:type="textWrapping"/>
        <w:t xml:space="preserve">Department of Design, Analytics and Cyber Security</w:t>
      </w:r>
    </w:p>
    <w:p w:rsidR="00000000" w:rsidDel="00000000" w:rsidP="00000000" w:rsidRDefault="00000000" w:rsidRPr="00000000" w14:paraId="00000003">
      <w:pPr>
        <w:widowControl w:val="0"/>
        <w:spacing w:before="7" w:line="240" w:lineRule="auto"/>
        <w:ind w:left="1530" w:right="147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 Y. BSc Cyber and Digital Science </w:t>
      </w:r>
    </w:p>
    <w:p w:rsidR="00000000" w:rsidDel="00000000" w:rsidP="00000000" w:rsidRDefault="00000000" w:rsidRPr="00000000" w14:paraId="00000004">
      <w:pPr>
        <w:widowControl w:val="0"/>
        <w:spacing w:before="29" w:line="240" w:lineRule="auto"/>
        <w:ind w:left="1530" w:right="147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 2025–2026</w:t>
      </w:r>
    </w:p>
    <w:p w:rsidR="00000000" w:rsidDel="00000000" w:rsidP="00000000" w:rsidRDefault="00000000" w:rsidRPr="00000000" w14:paraId="00000005">
      <w:pPr>
        <w:widowControl w:val="0"/>
        <w:spacing w:before="29" w:line="240" w:lineRule="auto"/>
        <w:ind w:left="1530" w:right="147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 Security policy and Audit </w:t>
        <w:br w:type="textWrapping"/>
      </w:r>
    </w:p>
    <w:p w:rsidR="00000000" w:rsidDel="00000000" w:rsidP="00000000" w:rsidRDefault="00000000" w:rsidRPr="00000000" w14:paraId="00000006">
      <w:pPr>
        <w:widowControl w:val="0"/>
        <w:spacing w:before="29"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tab/>
        <w:tab/>
        <w:tab/>
        <w:tab/>
        <w:tab/>
        <w:t xml:space="preserve">                        Date -  /09/2025 </w:t>
      </w:r>
    </w:p>
    <w:p w:rsidR="00000000" w:rsidDel="00000000" w:rsidP="00000000" w:rsidRDefault="00000000" w:rsidRPr="00000000" w14:paraId="00000007">
      <w:pPr>
        <w:widowControl w:val="0"/>
        <w:spacing w:before="29"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Roll No-                                                                      Div –TY H2</w:t>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US–GDPR Gap Analysis Report</w:t>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color w:val="1b1c1d"/>
        </w:rPr>
      </w:pPr>
      <w:r w:rsidDel="00000000" w:rsidR="00000000" w:rsidRPr="00000000">
        <w:rPr>
          <w:rFonts w:ascii="Times New Roman" w:cs="Times New Roman" w:eastAsia="Times New Roman" w:hAnsi="Times New Roman"/>
          <w:b w:val="1"/>
          <w:bCs w:val="1"/>
          <w:sz w:val="24"/>
          <w:szCs w:val="24"/>
          <w:rtl w:val="0"/>
        </w:rPr>
        <w:t xml:space="preserve">1. Purpose</w:t>
      </w:r>
      <w:r w:rsidDel="00000000" w:rsidR="00000000" w:rsidRPr="00000000">
        <w:rPr>
          <w:rtl w:val="0"/>
        </w:rPr>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purpose of this initiative was to address critical deficiencies in the client's cybersecurity posture and resolve related operational inefficiencies. The project was triggered by immediate business pains, including widespread staff complaints about poor PC performance and a high number of IT support tickets attributed to malware.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strategic purpose extended far beyond resolving these surface-level symptoms. A foundational audit conducted by the new IT provider revealed a severe underlying risk: the existing antivirus solution was outdated by over eight months, rendering it ineffective against contemporary cyber threats.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created a "ticking time bomb" that jeopardized not only the company's own data but also the sensitive client data retained during the development of financial services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Therefore, a core purpose of the project was to mitigate this significant business and reputational risk.</w:t>
      </w:r>
    </w:p>
    <w:p w:rsidR="00000000" w:rsidDel="00000000" w:rsidP="00000000" w:rsidRDefault="00000000" w:rsidRPr="00000000" w14:paraId="0000000E">
      <w:pPr>
        <w:widowControl w:val="0"/>
        <w:spacing w:after="240" w:line="275.9999942779541" w:lineRule="auto"/>
        <w:rPr>
          <w:rFonts w:ascii="Times New Roman" w:cs="Times New Roman" w:eastAsia="Times New Roman" w:hAnsi="Times New Roman"/>
          <w:sz w:val="24"/>
          <w:szCs w:val="24"/>
        </w:rPr>
      </w:pPr>
      <w:r w:rsidDel="00000000" w:rsidR="00000000" w:rsidRPr="00000000">
        <w:rPr>
          <w:rFonts w:ascii="Google Sans Text" w:cs="Google Sans Text" w:eastAsia="Google Sans Text" w:hAnsi="Google Sans Text"/>
          <w:color w:val="1b1c1d"/>
          <w:rtl w:val="0"/>
        </w:rPr>
        <w:t xml:space="preserve">Furthermore, the initiative was forward-looking, aiming to align the company's security practices with emerging regulatory requirements. The selection of the Sophos solution was explicitly influenced by the need to "contribute to their compliance before the GDPR regulations come into effect".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demonstrates that the project's purpose was not merely a technical fix but a strategic effort to elevate the client's overall security maturity. It represented a fundamental shift from a reactive, break-fix model of IT management to a proactive, risk-managed, and compliant security posture. The initial comprehensive "IT Infrastructure audit" and "traffic light report" are indicative of this strategic, diagnostic-led approach, which framed the entire intervention as a holistic improvement of security governance.</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This initiative aimed to resolve critical cybersecurity deficiencies and operational inefficiencies, initially triggered by widespread staff complaints and malware-related IT tickets.</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Beyond these surface issues, a foundational audit revealed a severe underlying risk: an outdated antivirus solution, posing a "ticking time bomb" to company and client data.</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Mitigating this business and reputational risk became a core purpose.</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Furthermore, the project was forward-looking, aligning security with emerging GDPR regulations.</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b1c1d"/>
          <w:sz w:val="22"/>
          <w:szCs w:val="22"/>
          <w:u w:val="none"/>
          <w:shd w:fill="auto" w:val="clear"/>
          <w:vertAlign w:val="baseline"/>
          <w:rtl w:val="0"/>
        </w:rPr>
        <w:t xml:space="preserve">The Sophos solution choice demonstrates a strategic effort to elevate security maturity from a reactive, break-fix model to a proactive, risk-managed, and compliant posture, as indicated by the initial "IT Infrastructure audit" and "traffic light report."</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Scope</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scope of the project was comprehensive, encompassing the client's entire organizational and technological footprint across its international operations.</w:t>
      </w:r>
    </w:p>
    <w:p w:rsidR="00000000" w:rsidDel="00000000" w:rsidP="00000000" w:rsidRDefault="00000000" w:rsidRPr="00000000" w14:paraId="00000013">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Personnel:</w:t>
      </w:r>
      <w:r w:rsidDel="00000000" w:rsidR="00000000" w:rsidRPr="00000000">
        <w:rPr>
          <w:rFonts w:ascii="Google Sans Text" w:cs="Google Sans Text" w:eastAsia="Google Sans Text" w:hAnsi="Google Sans Text"/>
          <w:color w:val="1b1c1d"/>
          <w:rtl w:val="0"/>
        </w:rPr>
        <w:t xml:space="preserve"> The initiative applied to all 57 staff members employed by the company.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4">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Geographic Locations:</w:t>
      </w:r>
      <w:r w:rsidDel="00000000" w:rsidR="00000000" w:rsidRPr="00000000">
        <w:rPr>
          <w:rFonts w:ascii="Google Sans Text" w:cs="Google Sans Text" w:eastAsia="Google Sans Text" w:hAnsi="Google Sans Text"/>
          <w:color w:val="1b1c1d"/>
          <w:rtl w:val="0"/>
        </w:rPr>
        <w:t xml:space="preserve"> The project was executed simultaneously at the company's two offices: the head office in London and the satellite office in New York.</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5">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Technological Assets:</w:t>
      </w:r>
      <w:r w:rsidDel="00000000" w:rsidR="00000000" w:rsidRPr="00000000">
        <w:rPr>
          <w:rFonts w:ascii="Google Sans Text" w:cs="Google Sans Text" w:eastAsia="Google Sans Text" w:hAnsi="Google Sans Text"/>
          <w:color w:val="1b1c1d"/>
          <w:rtl w:val="0"/>
        </w:rPr>
        <w:t xml:space="preserve"> The scope covered a diverse and heterogeneous IT environment. This included the removal of the old antivirus solution and the deployment of the new endpoint protection suite on 50 PCs, 10 laptops, 3 servers, and an unspecified number of mobile devices.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6">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Platform Diversity:</w:t>
      </w:r>
      <w:r w:rsidDel="00000000" w:rsidR="00000000" w:rsidRPr="00000000">
        <w:rPr>
          <w:rFonts w:ascii="Google Sans Text" w:cs="Google Sans Text" w:eastAsia="Google Sans Text" w:hAnsi="Google Sans Text"/>
          <w:color w:val="1b1c1d"/>
          <w:rtl w:val="0"/>
        </w:rPr>
        <w:t xml:space="preserve"> A critical element of the scope was the mixed-platform environment, which included both Windows and Apple OSX-based servers and workstations.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7">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Google Sans Text" w:cs="Google Sans Text" w:eastAsia="Google Sans Text" w:hAnsi="Google Sans Text"/>
          <w:color w:val="1b1c1d"/>
          <w:rtl w:val="0"/>
        </w:rPr>
        <w:t xml:space="preserve">The breadth and complexity of this scope underscore a key challenge in modern IT management: securing and managing a geographically dispersed and technologically diverse infrastructure. The successful execution of the project—a remote, single-day rollout with "zero disruption"—was contingent upon the selection of a solution capable of handling this complexity.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case study highlights that ongoing administration for both the London and New York offices is handled from a single "web-based management console".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reveals a crucial dependency: the project's scope directly informed the solution's technical requirements, making robust, cross-platform centralized management a non-negotiable feature for success.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Policy Objectives</w:t>
      </w:r>
    </w:p>
    <w:p w:rsidR="00000000" w:rsidDel="00000000" w:rsidP="00000000" w:rsidRDefault="00000000" w:rsidRPr="00000000" w14:paraId="0000001A">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project's high-level purpose was translated into a set of specific, multi-faceted objectives that addressed operational, security, and compliance needs simultaneously.</w:t>
      </w:r>
    </w:p>
    <w:p w:rsidR="00000000" w:rsidDel="00000000" w:rsidP="00000000" w:rsidRDefault="00000000" w:rsidRPr="00000000" w14:paraId="0000001C">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Enhance Threat Awareness and Security Culture:</w:t>
      </w:r>
      <w:r w:rsidDel="00000000" w:rsidR="00000000" w:rsidRPr="00000000">
        <w:rPr>
          <w:rFonts w:ascii="Google Sans Text" w:cs="Google Sans Text" w:eastAsia="Google Sans Text" w:hAnsi="Google Sans Text"/>
          <w:color w:val="1b1c1d"/>
          <w:rtl w:val="0"/>
        </w:rPr>
        <w:t xml:space="preserve"> A primary objective was to "develop and improve their information security awareness in the workplace" through targeted training sessions. This was deemed necessary after the initial audit revealed that many staff members "lacked knowledge and awareness of the latest network security threats".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D">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Ensure Secure Handling of Sensitive Data:</w:t>
      </w:r>
      <w:r w:rsidDel="00000000" w:rsidR="00000000" w:rsidRPr="00000000">
        <w:rPr>
          <w:rFonts w:ascii="Google Sans Text" w:cs="Google Sans Text" w:eastAsia="Google Sans Text" w:hAnsi="Google Sans Text"/>
          <w:color w:val="1b1c1d"/>
          <w:rtl w:val="0"/>
        </w:rPr>
        <w:t xml:space="preserve"> Given the client's work with financial services organizations, a critical objective was to protect "not just their own personal data but any client data that was being retained on their network".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objective directly influenced the choice of an enterprise-grade solution over cheaper alternatives.</w:t>
      </w:r>
    </w:p>
    <w:p w:rsidR="00000000" w:rsidDel="00000000" w:rsidP="00000000" w:rsidRDefault="00000000" w:rsidRPr="00000000" w14:paraId="0000001E">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Achieve and Maintain Regulatory Compliance:</w:t>
      </w:r>
      <w:r w:rsidDel="00000000" w:rsidR="00000000" w:rsidRPr="00000000">
        <w:rPr>
          <w:rFonts w:ascii="Google Sans Text" w:cs="Google Sans Text" w:eastAsia="Google Sans Text" w:hAnsi="Google Sans Text"/>
          <w:color w:val="1b1c1d"/>
          <w:rtl w:val="0"/>
        </w:rPr>
        <w:t xml:space="preserve"> A forward-looking objective was to implement a security solution that would serve as a foundational component of the company's GDPR compliance strategy. The need to prepare for these impending regulations was a key driver in the decision-making process.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F">
      <w:pPr>
        <w:widowControl w:val="0"/>
        <w:numPr>
          <w:ilvl w:val="0"/>
          <w:numId w:val="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Improve Operational Efficiency and Productivity:</w:t>
      </w:r>
      <w:r w:rsidDel="00000000" w:rsidR="00000000" w:rsidRPr="00000000">
        <w:rPr>
          <w:rFonts w:ascii="Google Sans Text" w:cs="Google Sans Text" w:eastAsia="Google Sans Text" w:hAnsi="Google Sans Text"/>
          <w:color w:val="1b1c1d"/>
          <w:rtl w:val="0"/>
        </w:rPr>
        <w:t xml:space="preserve"> An immediate and tangible objective was to resolve the persistent performance issues that were hampering employee productivity. The project aimed to "greatly increase productivity throughout the company" by reducing the frequency of "antivirus/malware related issues on their PCs".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0">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success of the initiative can be attributed to its design, which holistically addressed a convergence of these distinct business pressures: internal operational friction (low productivity), external security threats (malware, ransomware), and future regulatory demands (GDPR). A solution that addressed only one or two of these areas would have been incomplete. By tackling all three, the project was positioned as a strategic investment in business resilience and risk mitigation, rather than a mere operational expense.</w:t>
      </w:r>
    </w:p>
    <w:p w:rsidR="00000000" w:rsidDel="00000000" w:rsidP="00000000" w:rsidRDefault="00000000" w:rsidRPr="00000000" w14:paraId="00000021">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ind w:left="0" w:firstLine="0"/>
        <w:rPr>
          <w:rFonts w:ascii="Google Sans" w:cs="Google Sans" w:eastAsia="Google Sans" w:hAnsi="Google Sans"/>
          <w:color w:val="1b1c1d"/>
        </w:rPr>
      </w:pPr>
      <w:r w:rsidDel="00000000" w:rsidR="00000000" w:rsidRPr="00000000">
        <w:rPr>
          <w:rFonts w:ascii="Times New Roman" w:cs="Times New Roman" w:eastAsia="Times New Roman" w:hAnsi="Times New Roman"/>
          <w:b w:val="1"/>
          <w:bCs w:val="1"/>
          <w:sz w:val="24"/>
          <w:szCs w:val="24"/>
          <w:rtl w:val="0"/>
        </w:rPr>
        <w:t xml:space="preserve">4. Implementation Process Flow</w:t>
      </w:r>
      <w:r w:rsidDel="00000000" w:rsidR="00000000" w:rsidRPr="00000000">
        <w:rPr>
          <w:rtl w:val="0"/>
        </w:rPr>
      </w:r>
    </w:p>
    <w:p w:rsidR="00000000" w:rsidDel="00000000" w:rsidP="00000000" w:rsidRDefault="00000000" w:rsidRPr="00000000" w14:paraId="00000023">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followed a logical and structured process, moving from diagnosis to implementation and ongoing management. This flow reflects a best-practice consulting methodology.</w:t>
      </w:r>
    </w:p>
    <w:p w:rsidR="00000000" w:rsidDel="00000000" w:rsidP="00000000" w:rsidRDefault="00000000" w:rsidRPr="00000000" w14:paraId="00000024">
      <w:pPr>
        <w:widowControl w:val="0"/>
        <w:numPr>
          <w:ilvl w:val="0"/>
          <w:numId w:val="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Initial Engagement and Infrastructure Audit:</w:t>
      </w:r>
      <w:r w:rsidDel="00000000" w:rsidR="00000000" w:rsidRPr="00000000">
        <w:rPr>
          <w:rFonts w:ascii="Google Sans Text" w:cs="Google Sans Text" w:eastAsia="Google Sans Text" w:hAnsi="Google Sans Text"/>
          <w:color w:val="1b1c1d"/>
          <w:rtl w:val="0"/>
        </w:rPr>
        <w:t xml:space="preserve"> The process began when the client switched to "Our IT Department's Fully Managed IT Support service." The first task was to conduct a comprehensive "IT Infrastructure audit" to establish a baseline of the client's systems and identify vulnerabilities.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5">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Reporting and Strategic Recommendation:</w:t>
      </w:r>
      <w:r w:rsidDel="00000000" w:rsidR="00000000" w:rsidRPr="00000000">
        <w:rPr>
          <w:rFonts w:ascii="Google Sans Text" w:cs="Google Sans Text" w:eastAsia="Google Sans Text" w:hAnsi="Google Sans Text"/>
          <w:color w:val="1b1c1d"/>
          <w:rtl w:val="0"/>
        </w:rPr>
        <w:t xml:space="preserve"> The audit findings were compiled into a "traffic light report" and presented to the client's management team. This report detailed the risks associated with the outdated antivirus software and included a formal proposal to replace it with Sophos Endpoint Protection.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6">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Management Approval and Planning:</w:t>
      </w:r>
      <w:r w:rsidDel="00000000" w:rsidR="00000000" w:rsidRPr="00000000">
        <w:rPr>
          <w:rFonts w:ascii="Google Sans Text" w:cs="Google Sans Text" w:eastAsia="Google Sans Text" w:hAnsi="Google Sans Text"/>
          <w:color w:val="1b1c1d"/>
          <w:rtl w:val="0"/>
        </w:rPr>
        <w:t xml:space="preserve"> Following the presentation, "The client agreed with our proposal," providing the necessary buy-in and formal approval to proceed with the implementation.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step was crucial for securing resources and ensuring organizational alignment.</w:t>
      </w:r>
    </w:p>
    <w:p w:rsidR="00000000" w:rsidDel="00000000" w:rsidP="00000000" w:rsidRDefault="00000000" w:rsidRPr="00000000" w14:paraId="00000027">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Technology Deployment:</w:t>
      </w:r>
      <w:r w:rsidDel="00000000" w:rsidR="00000000" w:rsidRPr="00000000">
        <w:rPr>
          <w:rFonts w:ascii="Google Sans Text" w:cs="Google Sans Text" w:eastAsia="Google Sans Text" w:hAnsi="Google Sans Text"/>
          <w:color w:val="1b1c1d"/>
          <w:rtl w:val="0"/>
        </w:rPr>
        <w:t xml:space="preserve"> The technical implementation was executed with remarkable efficiency. It involved the removal of the existing antivirus solution and the remote rollout of the Sophos suite across all designated devices (PCs, laptops, servers, mobile) in both the London and New York offices. This entire process was completed within a single day with "zero disruption to the client's operations".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8">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Security Awareness Training Delivery:</w:t>
      </w:r>
      <w:r w:rsidDel="00000000" w:rsidR="00000000" w:rsidRPr="00000000">
        <w:rPr>
          <w:rFonts w:ascii="Google Sans Text" w:cs="Google Sans Text" w:eastAsia="Google Sans Text" w:hAnsi="Google Sans Text"/>
          <w:color w:val="1b1c1d"/>
          <w:rtl w:val="0"/>
        </w:rPr>
        <w:t xml:space="preserve"> Concurrently with the technology deployment, the human-factor component was addressed. The IT provider organized and delivered "a number of group training sessions" for London-based staff in person. The training for the New York office was conducted remotely via "a number of video conferencing sessions".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9">
      <w:pPr>
        <w:widowControl w:val="0"/>
        <w:numPr>
          <w:ilvl w:val="0"/>
          <w:numId w:val="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Ongoing Management and Maintenance:</w:t>
      </w:r>
      <w:r w:rsidDel="00000000" w:rsidR="00000000" w:rsidRPr="00000000">
        <w:rPr>
          <w:rFonts w:ascii="Google Sans Text" w:cs="Google Sans Text" w:eastAsia="Google Sans Text" w:hAnsi="Google Sans Text"/>
          <w:color w:val="1b1c1d"/>
          <w:rtl w:val="0"/>
        </w:rPr>
        <w:t xml:space="preserve"> Post-deployment, the process transitioned into a continuous management phase. All ongoing tasks, including the deployment of updates and system monitoring for both offices, are maintained remotely from a central "web-based management console".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A">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methodical process flow was fundamental to the project's success. The principle of "diagnosis before prescription"—conducting a thorough audit before recommending a solution—built a strong business case, fostered management trust, and provided the detailed technical information necessary for a flawless deployment. The "zero disruption" outcome was not merely a product of efficient tools but a direct result of this meticulous preparation and planning phase.</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Roles and Responsibilities</w:t>
      </w:r>
      <w:r w:rsidDel="00000000" w:rsidR="00000000" w:rsidRPr="00000000">
        <w:rPr>
          <w:rtl w:val="0"/>
        </w:rPr>
      </w:r>
    </w:p>
    <w:p w:rsidR="00000000" w:rsidDel="00000000" w:rsidP="00000000" w:rsidRDefault="00000000" w:rsidRPr="00000000" w14:paraId="0000002D">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widowControl w:val="0"/>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case study implicitly defines the roles and responsibilities of the key stakeholders involved in the project, aligning with the structure of a formal policy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F">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IT Security Team (External Consultant - "Our IT Department"):</w:t>
      </w:r>
      <w:r w:rsidDel="00000000" w:rsidR="00000000" w:rsidRPr="00000000">
        <w:rPr>
          <w:rFonts w:ascii="Google Sans Text" w:cs="Google Sans Text" w:eastAsia="Google Sans Text" w:hAnsi="Google Sans Text"/>
          <w:color w:val="1b1c1d"/>
          <w:rtl w:val="0"/>
        </w:rPr>
        <w:t xml:space="preserve"> This entity acted as the strategic partner and implementer. Their responsibilities were extensive, including: conducting the initial infrastructure audit; analyzing findings and preparing the recommendation report; proposing the specific technical and training solution; managing the entire remote deployment and rollout; designing and delivering security awareness training to all staff; and providing ongoing remote management, maintenance, and support for the endpoint protection suite.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0">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Senior Management (Client):</w:t>
      </w:r>
      <w:r w:rsidDel="00000000" w:rsidR="00000000" w:rsidRPr="00000000">
        <w:rPr>
          <w:rFonts w:ascii="Google Sans Text" w:cs="Google Sans Text" w:eastAsia="Google Sans Text" w:hAnsi="Google Sans Text"/>
          <w:color w:val="1b1c1d"/>
          <w:rtl w:val="0"/>
        </w:rPr>
        <w:t xml:space="preserve"> The client's management team served as the project sponsor and authorizer. Their key responsibilities included: engaging the new IT provider; receiving and reviewing the IT infrastructure audit and traffic light report; evaluating the proposed solution and its business case; formally approving the project and its associated budget; and championing the initiative within the organization, which implicitly included ensuring staff participation in the mandatory training sessions.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1">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Employees (Client Staff):</w:t>
      </w:r>
      <w:r w:rsidDel="00000000" w:rsidR="00000000" w:rsidRPr="00000000">
        <w:rPr>
          <w:rFonts w:ascii="Google Sans Text" w:cs="Google Sans Text" w:eastAsia="Google Sans Text" w:hAnsi="Google Sans Text"/>
          <w:color w:val="1b1c1d"/>
          <w:rtl w:val="0"/>
        </w:rPr>
        <w:t xml:space="preserve"> The end-users within the company were the primary beneficiaries of the project. Their responsibilities included: participating in the group training sessions to improve their security awareness; and implicitly, adhering to the new security practices and utilizing the new tools to maintain a secure working environment.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2">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Previous IT Incumbent (Implicit Role):</w:t>
      </w:r>
      <w:r w:rsidDel="00000000" w:rsidR="00000000" w:rsidRPr="00000000">
        <w:rPr>
          <w:rFonts w:ascii="Google Sans Text" w:cs="Google Sans Text" w:eastAsia="Google Sans Text" w:hAnsi="Google Sans Text"/>
          <w:color w:val="1b1c1d"/>
          <w:rtl w:val="0"/>
        </w:rPr>
        <w:t xml:space="preserve"> The actions—and inaction—of the prior IT service provider established the baseline of risk. By diagnosing a "high percentage of support tickets" as malware-related yet failing to notify management of this "persistent problem," they demonstrated a failure in the proactive governance and strategic communication expected of a modern IT partner.</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3">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delineation of roles highlights a critical shift in the function of an IT service provider. The failure of the previous incumbent was not merely technical but strategic. In contrast, "Our IT Department" assumed a role that transcended technical implementation, encompassing risk assessment, strategic planning, regulatory guidance (GDPR), and employee education. This positions the modern Managed Service Provider (MSP) as a comprehensive security partner responsible for technology, processes, and people.</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Program Components</w:t>
      </w:r>
    </w:p>
    <w:p w:rsidR="00000000" w:rsidDel="00000000" w:rsidP="00000000" w:rsidRDefault="00000000" w:rsidRPr="00000000" w14:paraId="00000036">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solution was composed of two distinct but symbiotic components: a sophisticated technology suite and a targeted human-factor intervention.</w:t>
      </w:r>
    </w:p>
    <w:p w:rsidR="00000000" w:rsidDel="00000000" w:rsidP="00000000" w:rsidRDefault="00000000" w:rsidRPr="00000000" w14:paraId="00000037">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Technology Component (Sophos Endpoint Protection):</w:t>
      </w:r>
      <w:r w:rsidDel="00000000" w:rsidR="00000000" w:rsidRPr="00000000">
        <w:rPr>
          <w:rFonts w:ascii="Google Sans Text" w:cs="Google Sans Text" w:eastAsia="Google Sans Text" w:hAnsi="Google Sans Text"/>
          <w:color w:val="1b1c1d"/>
          <w:rtl w:val="0"/>
        </w:rPr>
        <w:t xml:space="preserve"> This formed the core technical defense layer. The case study specifies that this was not a traditional, signature-based antivirus product. Instead, it is described as a "highly advanced threat prevention solution" that "correlates threat indicators" to proactively block a wide range of attack vectors, including web and application exploits, malicious URLs, and malicious code.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suite's specific features included CryptoGuard anti-ransomware, anti-malware, web security, and malicious traffic detection. A key feature for this specific client was its ability to run seamlessly in a cross-platform environment, protecting both Windows and OSX systems. The solution also included an advanced "web-based management console" that enabled complete remote deployment and administration.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8">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Human Component (Staff Awareness Training):</w:t>
      </w:r>
      <w:r w:rsidDel="00000000" w:rsidR="00000000" w:rsidRPr="00000000">
        <w:rPr>
          <w:rFonts w:ascii="Google Sans Text" w:cs="Google Sans Text" w:eastAsia="Google Sans Text" w:hAnsi="Google Sans Text"/>
          <w:color w:val="1b1c1d"/>
          <w:rtl w:val="0"/>
        </w:rPr>
        <w:t xml:space="preserve"> This component was designed to strengthen the "human firewall." The decision to include training was a direct result of observations made during the initial audit, where the consulting team "spent some time with the staff" and identified a significant "lack of knowledge and awareness of the latest network security threats".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observation was corroborated by the high number of malware-related support tickets. The training was delivered in "group training sessions" with the explicit goal of developing and improving "information security awareness in the workplace".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9">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architecture of this two-part program reflects a core tenet of modern cybersecurity: defense-in-depth requires addressing both technological and human vulnerabilities. The project implementers correctly identified that even the most advanced security software could be circumvented by an uninformed user who, for example, clicks on a phishing link or installs an unwanted application. The technology component and the human component were therefore not independent solutions but a single, integrated strategy. The technology provided the automated shield, while the training aimed to reduce the number of user-initiated actions that would test that shield.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solution combined technology (Sophos Endpoint Protection) and human training.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Sophos, an advanced threat prevention solution, proactively blocked attacks like exploits, malicious URLs, and code, featuring CryptoGuard, anti-malware, web security, and malicious traffic detection across Windows and OSX. Its web-based console allowed remote management.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Staff awareness training, initiated due to observed knowledge gaps and frequent malware issues, aimed to improve information security.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This two-part program reflects the modern cybersecurity principle of defense-in-depth, addressing both technical and human vulnerabilities for an integrated security strategy.</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Governance &amp; Policy Audit</w:t>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50.415335463259"/>
        <w:gridCol w:w="932.0127795527156"/>
        <w:gridCol w:w="3877.571884984025"/>
        <w:tblGridChange w:id="0">
          <w:tblGrid>
            <w:gridCol w:w="4550.415335463259"/>
            <w:gridCol w:w="932.0127795527156"/>
            <w:gridCol w:w="3877.5718849840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 Findings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a Data Protection Officer appointed?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firms often lack a mandatory DPO role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GDPR compliance formally approved by top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initiatives exist but lack board-level oversight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policies reviewed annually?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updates not consistently aligned with GDPR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vendor GDPR compliance monitored?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risk assessments limited</w:t>
            </w:r>
          </w:p>
        </w:tc>
      </w:tr>
    </w:tbl>
    <w:p w:rsidR="00000000" w:rsidDel="00000000" w:rsidP="00000000" w:rsidRDefault="00000000" w:rsidRPr="00000000" w14:paraId="0000004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jwjojckl62i9" w:id="0"/>
      <w:bookmarkEnd w:id="0"/>
      <w:r w:rsidDel="00000000" w:rsidR="00000000" w:rsidRPr="00000000">
        <w:rPr>
          <w:rFonts w:ascii="Times New Roman" w:cs="Times New Roman" w:eastAsia="Times New Roman" w:hAnsi="Times New Roman"/>
          <w:b w:val="1"/>
          <w:bCs w:val="1"/>
          <w:sz w:val="24"/>
          <w:szCs w:val="24"/>
          <w:rtl w:val="0"/>
        </w:rPr>
        <w:t xml:space="preserve">8. Compliance Program Design</w:t>
      </w:r>
    </w:p>
    <w:p w:rsidR="00000000" w:rsidDel="00000000" w:rsidP="00000000" w:rsidRDefault="00000000" w:rsidRPr="00000000" w14:paraId="00000050">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24.217252396166"/>
        <w:gridCol w:w="932.0127795527156"/>
        <w:gridCol w:w="3503.7699680511178"/>
        <w:tblGridChange w:id="0">
          <w:tblGrid>
            <w:gridCol w:w="4924.217252396166"/>
            <w:gridCol w:w="932.0127795527156"/>
            <w:gridCol w:w="3503.76996805111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 Findings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the program include data subject rights processes?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 exist but not GDPR-standard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consent management GDPR-compliant?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not granular or revocable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cross-border transfers secured under SCCs or other mechanisms?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outdated frameworks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data retention clearly 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firms keep data longer than GDPR allows</w:t>
            </w:r>
          </w:p>
        </w:tc>
      </w:tr>
    </w:tbl>
    <w:p w:rsidR="00000000" w:rsidDel="00000000" w:rsidP="00000000" w:rsidRDefault="00000000" w:rsidRPr="00000000" w14:paraId="0000006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1"/>
          <w:bCs w:val="1"/>
          <w:sz w:val="24"/>
          <w:szCs w:val="24"/>
        </w:rPr>
      </w:pPr>
      <w:bookmarkStart w:colFirst="0" w:colLast="0" w:name="_7wfwksmrexzd" w:id="1"/>
      <w:bookmarkEnd w:id="1"/>
      <w:r w:rsidDel="00000000" w:rsidR="00000000" w:rsidRPr="00000000">
        <w:rPr>
          <w:rFonts w:ascii="Times New Roman" w:cs="Times New Roman" w:eastAsia="Times New Roman" w:hAnsi="Times New Roman"/>
          <w:b w:val="1"/>
          <w:bCs w:val="1"/>
          <w:sz w:val="24"/>
          <w:szCs w:val="24"/>
          <w:rtl w:val="0"/>
        </w:rPr>
        <w:t xml:space="preserve">9. Compliance Delivery &amp; Tracking</w:t>
      </w:r>
    </w:p>
    <w:p w:rsidR="00000000" w:rsidDel="00000000" w:rsidP="00000000" w:rsidRDefault="00000000" w:rsidRPr="00000000" w14:paraId="00000065">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14.888178913738"/>
        <w:gridCol w:w="932.0127795527156"/>
        <w:gridCol w:w="3713.0990415335464"/>
        <w:tblGridChange w:id="0">
          <w:tblGrid>
            <w:gridCol w:w="4714.888178913738"/>
            <w:gridCol w:w="932.0127795527156"/>
            <w:gridCol w:w="3713.09904153354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 Findings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breach notification within 72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laws vary, not GDPR-compliant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privacy notices user-friendly and transparent?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Notices exist but are legalistic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employee training mandatory?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exists but not GDPR-focused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compliance records maintained?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insufficient</w:t>
            </w:r>
          </w:p>
        </w:tc>
      </w:tr>
    </w:tbl>
    <w:p w:rsidR="00000000" w:rsidDel="00000000" w:rsidP="00000000" w:rsidRDefault="00000000" w:rsidRPr="00000000" w14:paraId="0000007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Post-Training Evaluation </w:t>
      </w:r>
    </w:p>
    <w:p w:rsidR="00000000" w:rsidDel="00000000" w:rsidP="00000000" w:rsidRDefault="00000000" w:rsidRPr="00000000" w14:paraId="00000078">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91.5654952076675"/>
        <w:gridCol w:w="932.0127795527156"/>
        <w:gridCol w:w="4236.4217252396165"/>
        <w:tblGridChange w:id="0">
          <w:tblGrid>
            <w:gridCol w:w="4191.5654952076675"/>
            <w:gridCol w:w="932.0127795527156"/>
            <w:gridCol w:w="4236.4217252396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 Findings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compliance effectiveness measured with KPIs?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formal metrics in place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lessons learned fed into compliance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improvements only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continuous improvement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compliance not integrated into governance</w:t>
            </w:r>
          </w:p>
        </w:tc>
      </w:tr>
    </w:tbl>
    <w:p w:rsidR="00000000" w:rsidDel="00000000" w:rsidP="00000000" w:rsidRDefault="00000000" w:rsidRPr="00000000" w14:paraId="0000008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6jdhaikbw98" w:id="2"/>
      <w:bookmarkEnd w:id="2"/>
      <w:r w:rsidDel="00000000" w:rsidR="00000000" w:rsidRPr="00000000">
        <w:rPr>
          <w:rtl w:val="0"/>
        </w:rPr>
      </w:r>
    </w:p>
    <w:p w:rsidR="00000000" w:rsidDel="00000000" w:rsidP="00000000" w:rsidRDefault="00000000" w:rsidRPr="00000000" w14:paraId="0000008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ieig7e9ao9da" w:id="3"/>
      <w:bookmarkEnd w:id="3"/>
      <w:r w:rsidDel="00000000" w:rsidR="00000000" w:rsidRPr="00000000">
        <w:rPr>
          <w:rtl w:val="0"/>
        </w:rPr>
      </w:r>
    </w:p>
    <w:p w:rsidR="00000000" w:rsidDel="00000000" w:rsidP="00000000" w:rsidRDefault="00000000" w:rsidRPr="00000000" w14:paraId="00000089">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2673m1ogfnp1" w:id="4"/>
      <w:bookmarkEnd w:id="4"/>
      <w:r w:rsidDel="00000000" w:rsidR="00000000" w:rsidRPr="00000000">
        <w:rPr>
          <w:rFonts w:ascii="Times New Roman" w:cs="Times New Roman" w:eastAsia="Times New Roman" w:hAnsi="Times New Roman"/>
          <w:b w:val="1"/>
          <w:bCs w:val="1"/>
          <w:sz w:val="24"/>
          <w:szCs w:val="24"/>
          <w:rtl w:val="0"/>
        </w:rPr>
        <w:t xml:space="preserve">11. Gaps &amp; Recommendations</w:t>
      </w:r>
    </w:p>
    <w:p w:rsidR="00000000" w:rsidDel="00000000" w:rsidP="00000000" w:rsidRDefault="00000000" w:rsidRPr="00000000" w14:paraId="0000008A">
      <w:pPr>
        <w:rPr/>
      </w:pPr>
      <w:r w:rsidDel="00000000" w:rsidR="00000000" w:rsidRPr="00000000">
        <w:rPr>
          <w:rtl w:val="0"/>
        </w:rPr>
      </w:r>
    </w:p>
    <w:tbl>
      <w:tblPr>
        <w:tblStyle w:val="Table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648"/>
        <w:gridCol w:w="2730.624"/>
        <w:gridCol w:w="3913.728"/>
        <w:tblGridChange w:id="0">
          <w:tblGrid>
            <w:gridCol w:w="2715.648"/>
            <w:gridCol w:w="2730.624"/>
            <w:gridCol w:w="3913.72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Gap Identified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Risk /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Lack of DPO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Regulatory non-compliance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Appoint a DPO or designate EU representative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Weak consent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Invalid processing basis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Implement granular, revocable consent systems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No 72-hour breach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Fines, reputational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Adopt GDPR-aligned incident response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Insufficient vendor oversight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Third-party non-compliance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Enforce GDPR clauses in vendor contracts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Over-retention of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Legal &amp; regulatory fines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Define and enforce data retention schedules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Poor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Inability to prove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Maintain GDPR audit trail and records</w:t>
            </w:r>
          </w:p>
        </w:tc>
      </w:tr>
    </w:tbl>
    <w:p w:rsidR="00000000" w:rsidDel="00000000" w:rsidP="00000000" w:rsidRDefault="00000000" w:rsidRPr="00000000" w14:paraId="000000A0">
      <w:pPr>
        <w:rPr/>
      </w:pPr>
      <w:r w:rsidDel="00000000" w:rsidR="00000000" w:rsidRPr="00000000">
        <w:rPr>
          <w:rtl w:val="0"/>
        </w:rPr>
      </w:r>
    </w:p>
    <w:sectPr>
      <w:headerReference r:id="rId7" w:type="default"/>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