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331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19425" cy="766763"/>
            <wp:effectExtent b="0" l="0" r="0" t="0"/>
            <wp:docPr descr="MIT Alandi.png" id="1" name="image1.png"/>
            <a:graphic>
              <a:graphicData uri="http://schemas.openxmlformats.org/drawingml/2006/picture">
                <pic:pic>
                  <pic:nvPicPr>
                    <pic:cNvPr descr="MIT Alandi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of Computer Science &amp; Application</w:t>
        <w:br w:type="textWrapping"/>
        <w:t xml:space="preserve">Department of Design, Analytics and Cyber Security</w:t>
      </w:r>
    </w:p>
    <w:p w:rsidR="00000000" w:rsidDel="00000000" w:rsidP="00000000" w:rsidRDefault="00000000" w:rsidRPr="00000000" w14:paraId="00000003">
      <w:pPr>
        <w:widowControl w:val="0"/>
        <w:spacing w:before="7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T. Y. BSc Cyber and Digital Science </w:t>
      </w:r>
    </w:p>
    <w:p w:rsidR="00000000" w:rsidDel="00000000" w:rsidP="00000000" w:rsidRDefault="00000000" w:rsidRPr="00000000" w14:paraId="00000004">
      <w:pPr>
        <w:widowControl w:val="0"/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 2025–2026</w:t>
      </w:r>
    </w:p>
    <w:p w:rsidR="00000000" w:rsidDel="00000000" w:rsidP="00000000" w:rsidRDefault="00000000" w:rsidRPr="00000000" w14:paraId="00000005">
      <w:pPr>
        <w:widowControl w:val="0"/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Information Security policy and Audit </w:t>
        <w:br w:type="textWrapping"/>
      </w:r>
    </w:p>
    <w:p w:rsidR="00000000" w:rsidDel="00000000" w:rsidP="00000000" w:rsidRDefault="00000000" w:rsidRPr="00000000" w14:paraId="00000006">
      <w:pPr>
        <w:widowControl w:val="0"/>
        <w:spacing w:before="29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Name-Yash Pardeshi</w:t>
        <w:tab/>
        <w:tab/>
        <w:tab/>
        <w:tab/>
        <w:tab/>
        <w:tab/>
        <w:t xml:space="preserve">Date -04/09/2025 </w:t>
      </w:r>
    </w:p>
    <w:p w:rsidR="00000000" w:rsidDel="00000000" w:rsidP="00000000" w:rsidRDefault="00000000" w:rsidRPr="00000000" w14:paraId="00000007">
      <w:pPr>
        <w:widowControl w:val="0"/>
        <w:spacing w:before="29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r3vnst36o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No- TH2252 </w:t>
        <w:tab/>
        <w:tab/>
        <w:tab/>
        <w:tab/>
        <w:tab/>
        <w:tab/>
        <w:tab/>
        <w:tab/>
        <w:t xml:space="preserve">Class/ Div –TY H2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Security Audit Report – Altius IT Solutions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Network Infrastructure &amp; Security controls implemented across Altius IT client solutions (Cloud, Data Center, Application, and Security Case Studies).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4e2n23n26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Governance &amp; Policy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25"/>
        <w:gridCol w:w="3000"/>
        <w:tblGridChange w:id="0">
          <w:tblGrid>
            <w:gridCol w:w="3000"/>
            <w:gridCol w:w="2925"/>
            <w:gridCol w:w="3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 / Findings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network security policy approved by senior management?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for cloud migration and security implementations were aligned with client compliance frameworks (ISO 27001, PCI-DSS).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policy reviewed and updated at least annually?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are updated project-wise, but a unified enterprise-wide annual review is not documented.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roles and responsibilities for security clearly defined?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CISO, IT Security Team, and client IT staff responsibilities are well documented.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 backup/alternate plan for network security governance?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formalized alternate governance structure identified during transition phases.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vk1apxazc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Network Security Program Design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40"/>
        <w:gridCol w:w="2985"/>
        <w:tblGridChange w:id="0">
          <w:tblGrid>
            <w:gridCol w:w="2985"/>
            <w:gridCol w:w="2940"/>
            <w:gridCol w:w="29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 / Findings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 structured onboarding process for new security technologies?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and data center migrations include structured onboarding of firewalls, IDS/IPS, and SIEM solutions.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penetration tests or vulnerability scans included?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Red-team testing and VAPT were part of most client security deployments.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role-based access control (RBAC) in place?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RBAC enforced via IAM policies in cloud and AD integration on-prem.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network security updated regularly to address new threats?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applied in cloud environments; legacy systems at client sites remain a risk.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k131ldf2f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Network Security Implementation &amp; Operations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40"/>
        <w:gridCol w:w="2985"/>
        <w:tblGridChange w:id="0">
          <w:tblGrid>
            <w:gridCol w:w="2985"/>
            <w:gridCol w:w="2940"/>
            <w:gridCol w:w="29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 / Findings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firewalls, IDS/IPS, and SIEM actively deployed?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Multi-layered defense strategies deployed for clients.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encryption enforced for data-in-transit and at-rest?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TLS for data in transit and AES-256 for storage were deployed in multiple projects.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patch management and updates enforced regularly?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Cloud-based solutions auto-patch, but legacy infrastructure required manual updates.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24/7 monitoring of critical assets?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 services with SIEM dashboards are used in critical projects.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us6o25gug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Incident Response &amp; Compliance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55"/>
        <w:gridCol w:w="2985"/>
        <w:tblGridChange w:id="0">
          <w:tblGrid>
            <w:gridCol w:w="2970"/>
            <w:gridCol w:w="2955"/>
            <w:gridCol w:w="29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 / Findings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an incident response (IR) plan in place?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 documented and linked to SOC monitoring.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incidents logged, escalated, and resolved with timelines?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Tickets raised and tracked via ITSM tools.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compliance with client regulations (ISO, PCI-DSS, GDPR) ensured?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during audits for banking, retail, and healthcare clients.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non-compliance cases handled with penalties?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exist, but enforcement depends on client contracts.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m5kgkc157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Post-Security Evaluation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40"/>
        <w:gridCol w:w="2970"/>
        <w:tblGridChange w:id="0">
          <w:tblGrid>
            <w:gridCol w:w="2985"/>
            <w:gridCol w:w="2940"/>
            <w:gridCol w:w="29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 / Findings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security effectiveness measured with KPIs (e.g., MTTR, incident volume)?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Metrics tracked via SIEM dashboards and SOC reports.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a continuous improvement plan based on incidents?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Lessons learned captured, but not consistently fed into future security design.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lessons learned shared across projects?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 sharing is limited to project-specific teams.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rynga2ogu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Gaps &amp; Recommendations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970"/>
        <w:gridCol w:w="3000"/>
        <w:tblGridChange w:id="0">
          <w:tblGrid>
            <w:gridCol w:w="2940"/>
            <w:gridCol w:w="2970"/>
            <w:gridCol w:w="3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Gap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/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Lack of unified annual policy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may become outdated, leading to compliance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 an annual review cycle across all security projects.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system patching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Vulnerabilities may remain unpatched, exposing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automated patch management or phased system upgrades.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knowledge-sharing between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practices not reused, increasing inefficiency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central knowledge repository for lessons learned.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formalized alternate governance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of leadership gap during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a backup governance framework with clear escalation paths.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