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Case Study: Infosys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A Blueprint for Enterprise Sensitive Information Management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Introduction: The Imperative for Data Sovereignty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Infosys, a global leader in next-generation digital services and consulting, operates in over 50 countries, handling vast, highly sensitive datasets for a global clientele, as well as its own hundreds of thousands of employees.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this hyper-connected ecosystem, data protection is not merely a compliance task; it is a core business function and a strategic competitive differentiator.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information handled includes financial records, proprietary client intellectual property (IP), government-issued identification numbers, and sensitive employee diversity metrics (SPI/PII).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case study analyzes Infosys’s holistic approach to sensitive information management, illustrating a model built on proactive design, stringent governance, and continuous vigilance.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Foundation of Protection: "Privacy by Design" and the EPIC Framework</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Infosys’s data protection strategy is fundamentally proactive, adhering to the principle of "Privacy by Design." This philosophy is operationalized through its organization-wide program: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EPIC (Embedding Privacy by Design into Infosys Culture)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The EPIC Program and Software Development Lifecycle (SDLC) Integration</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Integration at Inception: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EPIC mandates that security controls and privacy requirements are not bolt-ons but are integrated from the initial requirements gathering phase of the Software Development Lifecycle (SDLC).</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De-identification and Pseudonymization: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All new applications are assessed for data minimization opportunities.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Where possible, development and testing environments use pseudonymized or anonymized data, ensuring that real Personally Identifiable Information (PII) is not exposed during non-production activities.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Role-Based Access Control (RBAC):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Access to sensitive data is granularly defined.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EPIC framework ensures that no single individual possesses access privileges beyond what is strictly necessary for their role, embodying the principle of "Least Privilege Access."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Privacy Impact Assessments (DPIA)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crucial component of the EPIC framework is the mandatory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Privacy Impact Assessment (DPIA)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Customized In-House Tooling: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Recognizing the complexity of its operations, Infosys developed an internal, proprietary DPIA tool.</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tool automatically scans new or modified business processes involving PII/SPI to identify inherent privacy risks.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Mitigation and Control Recommendations: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tool does not simply flag risks; it provides customized, context-aware recommendations for security controls (e.g., encryption standards, tokenization methods, access restriction policies) to bring the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process in line with global and local regulatory requirements before deployment.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Global Regulatory Compliance and Governance 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fragmented global regulatory landscape—from the EU’s GDPR to sector-specific mandates like HIPAA and the emerging India’s Digital Personal Data Protection (DPDP) Bill—necessitates an agile and comprehensive compliance approach.</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Achieving the Gold Standard: ISO 27701</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Infosys was one of the early global adopters to achieve the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ISO 27701</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certification.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international standard is an extension of the ubiquitous ISO 27001 (Information Security Management System) and specifically focuses on Privacy Information Management (PIMS).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certification provides an independent, globally recognized assurance that Infosys’s processes meet the highest levels of governance, transparency, and accountability for managing data privacy risks.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Classification and Consent Management</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Data is rigorously classified at the point of collection (e.g., Public, Internal, Confidential, Highly Sensitive).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classification dictates the technical and procedural controls applied, including the required encryption level, storage location, and retention period.</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Explicit and Granular Consent: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For all sensitive/optional data (e.g., diversity metrics, health information), explicit, informed, and revocable consent is mandatory.</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architecture allows users to easily view what data is collected and to withdraw consent for optional data at any time, providing the required data subject rights as per international mandates.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Operationalizing Data Security: Technical and Third-Party Guardrails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Effective data protection is secured through a layered defense model that extends beyond the corporate perimeter.</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Vendor and Third-Party Security Audits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company’s security is often limited by its weakest vendor.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Infosys enforces strict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"Vendor Data Privacy Guidelines."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All third-party suppliers, particularly those utilizing cloud services or handling client data, undergo a rigorous due diligence process.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Contractual Enforcement: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External vendors are bound by heavy contractual obligations (including explicit clauses on data localization, breach notification timelines, and audit rights) to maintain cybersecurity and privacy standards equivalent to or exceeding Infosys’s own.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Human Capital and Incident Response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Continuous Security Training: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Every Infosys employee, regardless of role, undergoes mandatory, regular, and role-specific training on data privacy and security best practices.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Phishing simulation and social engineering awareness campaigns are run continuously.</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Cyber Incident Response Team (CIRT):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 dedicated, globally distributed CIRT is in place to manage and contain security incidents.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includes detailed, tested protocols for data breach identification, containment, eradication, and post-mortem analysis, all aligned with stringent regulatory notification timelines (e.g., 72-hour notification under GDPR).</w:t>
      </w:r>
      <w:r w:rsidDel="00000000" w:rsidR="00000000" w:rsidRPr="00000000">
        <w:rPr>
          <w:rtl w:val="0"/>
        </w:rPr>
      </w:r>
    </w:p>
    <w:p w:rsidR="00000000" w:rsidDel="00000000" w:rsidP="00000000" w:rsidRDefault="00000000" w:rsidRPr="00000000" w14:paraId="0000002E">
      <w:pPr>
        <w:pStyle w:val="Heading2"/>
        <w:spacing w:line="276" w:lineRule="auto"/>
        <w:rPr>
          <w:sz w:val="36"/>
          <w:szCs w:val="36"/>
        </w:rPr>
      </w:pPr>
      <w:bookmarkStart w:colFirst="0" w:colLast="0" w:name="_qw3by38ja3a7" w:id="0"/>
      <w:bookmarkEnd w:id="0"/>
      <w:r w:rsidDel="00000000" w:rsidR="00000000" w:rsidRPr="00000000">
        <w:rPr>
          <w:sz w:val="36"/>
          <w:szCs w:val="36"/>
          <w:rtl w:val="0"/>
        </w:rPr>
        <w:t xml:space="preserve">4.3. Data Retention and Destruction Policy </w:t>
      </w:r>
    </w:p>
    <w:p w:rsidR="00000000" w:rsidDel="00000000" w:rsidP="00000000" w:rsidRDefault="00000000" w:rsidRPr="00000000" w14:paraId="0000002F">
      <w:pPr>
        <w:spacing w:line="276" w:lineRule="auto"/>
        <w:rPr>
          <w:sz w:val="26"/>
          <w:szCs w:val="26"/>
        </w:rPr>
      </w:pPr>
      <w:r w:rsidDel="00000000" w:rsidR="00000000" w:rsidRPr="00000000">
        <w:rPr>
          <w:sz w:val="26"/>
          <w:szCs w:val="26"/>
          <w:rtl w:val="0"/>
        </w:rPr>
        <w:t xml:space="preserve">To adhere to the principle of data minimization and meet global regulatory requirements (e.g., GDPR Article 5(1)(e)), Infosys maintains strict policies governing the lifespan of sensitive information.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1">
      <w:pPr>
        <w:numPr>
          <w:ilvl w:val="0"/>
          <w:numId w:val="2"/>
        </w:numPr>
        <w:spacing w:line="276" w:lineRule="auto"/>
        <w:ind w:left="720" w:hanging="360"/>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b w:val="1"/>
          <w:bCs w:val="1"/>
          <w:sz w:val="26"/>
          <w:szCs w:val="26"/>
          <w:rtl w:val="0"/>
        </w:rPr>
        <w:t xml:space="preserve">Policy Objective:</w:t>
      </w:r>
      <w:r w:rsidDel="00000000" w:rsidR="00000000" w:rsidRPr="00000000">
        <w:rPr>
          <w:sz w:val="26"/>
          <w:szCs w:val="26"/>
          <w:rtl w:val="0"/>
        </w:rPr>
        <w:t xml:space="preserve"> Ensure that Personally Identifiable Information (PII) and Sensitive Personal Information (SPI) are retained only for the period strictly necessary to fulfill the purpose for which they were collected, or as required by law (e.g., tax, employment law).</w:t>
      </w:r>
    </w:p>
    <w:p w:rsidR="00000000" w:rsidDel="00000000" w:rsidP="00000000" w:rsidRDefault="00000000" w:rsidRPr="00000000" w14:paraId="00000032">
      <w:pPr>
        <w:numPr>
          <w:ilvl w:val="0"/>
          <w:numId w:val="2"/>
        </w:numPr>
        <w:spacing w:line="276" w:lineRule="auto"/>
        <w:ind w:left="720" w:hanging="360"/>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b w:val="1"/>
          <w:bCs w:val="1"/>
          <w:sz w:val="26"/>
          <w:szCs w:val="26"/>
          <w:rtl w:val="0"/>
        </w:rPr>
        <w:t xml:space="preserve">Mandatory Review Periods:</w:t>
      </w:r>
      <w:r w:rsidDel="00000000" w:rsidR="00000000" w:rsidRPr="00000000">
        <w:rPr>
          <w:sz w:val="26"/>
          <w:szCs w:val="26"/>
          <w:rtl w:val="0"/>
        </w:rPr>
        <w:t xml:space="preserve"> Data classified as 'Highly Sensitive' or 'Confidential' (including client IP and employee PII) is subject to mandatory, automated retention policy enforcement. By default, data is flagged for review or automated destruction/archival after a defined period (typically 7 years for core business and employee records, or as dictated by client contracts).</w:t>
      </w:r>
    </w:p>
    <w:p w:rsidR="00000000" w:rsidDel="00000000" w:rsidP="00000000" w:rsidRDefault="00000000" w:rsidRPr="00000000" w14:paraId="00000033">
      <w:pPr>
        <w:numPr>
          <w:ilvl w:val="0"/>
          <w:numId w:val="2"/>
        </w:numPr>
        <w:spacing w:line="276" w:lineRule="auto"/>
        <w:ind w:left="720" w:hanging="360"/>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b w:val="1"/>
          <w:bCs w:val="1"/>
          <w:sz w:val="26"/>
          <w:szCs w:val="26"/>
          <w:rtl w:val="0"/>
        </w:rPr>
        <w:t xml:space="preserve">Secure Destruction:</w:t>
      </w:r>
      <w:r w:rsidDel="00000000" w:rsidR="00000000" w:rsidRPr="00000000">
        <w:rPr>
          <w:sz w:val="26"/>
          <w:szCs w:val="26"/>
          <w:rtl w:val="0"/>
        </w:rPr>
        <w:t xml:space="preserve"> Upon expiration of the retention period, data must be rendered permanently unrecoverable. For digital records, this involves multi-pass overwriting and cryptographic shredding techniques. For physical records, secure cross-cut shredding and certified destruction logs are maintained to provide an auditable chain of custody. This process is validated annually via internal and external audits.</w:t>
      </w:r>
    </w:p>
    <w:p w:rsidR="00000000" w:rsidDel="00000000" w:rsidP="00000000" w:rsidRDefault="00000000" w:rsidRPr="00000000" w14:paraId="00000034">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5">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6">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7">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8">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9">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A">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B">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C">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D">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E">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Conclusion and Future Challenges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Infosys’s success in managing sensitive information is a testament to treating privacy as a continuous operational standard and a deep-seated organizational culture, not just an IT checklist.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EPIC program, DPIA methodology, and commitment to global standards like ISO 27701 collectively form a resilient defense.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Looking forward, the company continues to face "twin challenges":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Generative AI Governance: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As Generative AI models are integrated into enterprise operations, the challenge is ensuring that proprietary client data used for model training remains protected and that the models do not inadvertently generate sensitive or proprietary information.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Shifting Data Residency Mandates: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The increasing global trend toward data residency and localization requirements means Infosys must maintain highly flexible, country-specific data storage and processing architectures while ensuring a unified global security standard.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Infosys case study provides a compelling model for how a multinational enterprise can achieve data sovereignty, regulatory compliance, and client trust in the digital age.</w:t>
      </w:r>
      <w:r w:rsidDel="00000000" w:rsidR="00000000" w:rsidRPr="00000000">
        <w:rPr>
          <w:rtl w:val="0"/>
        </w:rPr>
      </w:r>
    </w:p>
    <w:sectPr>
      <w:pgSz w:h="16834" w:w="11909" w:orient="portrait"/>
      <w:pgMar w:bottom="1440" w:top="850.3937007874016" w:left="1440" w:right="11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