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line="331"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019425" cy="766763"/>
            <wp:effectExtent b="0" l="0" r="0" t="0"/>
            <wp:docPr descr="MIT Alandi.png" id="3" name="image1.png"/>
            <a:graphic>
              <a:graphicData uri="http://schemas.openxmlformats.org/drawingml/2006/picture">
                <pic:pic>
                  <pic:nvPicPr>
                    <pic:cNvPr descr="MIT Alandi.png" id="0" name="image1.png"/>
                    <pic:cNvPicPr preferRelativeResize="0"/>
                  </pic:nvPicPr>
                  <pic:blipFill>
                    <a:blip r:embed="rId7"/>
                    <a:srcRect b="0" l="0" r="0" t="0"/>
                    <a:stretch>
                      <a:fillRect/>
                    </a:stretch>
                  </pic:blipFill>
                  <pic:spPr>
                    <a:xfrm>
                      <a:off x="0" y="0"/>
                      <a:ext cx="3019425" cy="7667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School of Computer Science &amp; Application</w:t>
        <w:br w:type="textWrapping"/>
        <w:t xml:space="preserve">Department of Design, Analytics and Cyber Security</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7" w:line="240" w:lineRule="auto"/>
        <w:ind w:left="1530" w:right="147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 Y. BSc Cyber and Digital Science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9" w:line="240" w:lineRule="auto"/>
        <w:ind w:left="1530" w:right="147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Academic Year 2025–2026</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9" w:line="240" w:lineRule="auto"/>
        <w:ind w:left="1530" w:right="1470"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Information Security policy and Audit </w:t>
        <w:br w:type="textWrapping"/>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9"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Student Name-Yash Pardeshi</w:t>
        <w:tab/>
        <w:tab/>
        <w:tab/>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9" w:line="240" w:lineRule="auto"/>
        <w:rPr>
          <w:rFonts w:ascii="Times New Roman" w:cs="Times New Roman" w:eastAsia="Times New Roman" w:hAnsi="Times New Roman"/>
          <w:b w:val="1"/>
          <w:color w:val="000000"/>
          <w:sz w:val="24"/>
          <w:szCs w:val="24"/>
        </w:rPr>
      </w:pPr>
      <w:bookmarkStart w:colFirst="0" w:colLast="0" w:name="_heading=h.tdr3vnst36ox" w:id="0"/>
      <w:bookmarkEnd w:id="0"/>
      <w:r w:rsidDel="00000000" w:rsidR="00000000" w:rsidRPr="00000000">
        <w:rPr>
          <w:rFonts w:ascii="Times New Roman" w:cs="Times New Roman" w:eastAsia="Times New Roman" w:hAnsi="Times New Roman"/>
          <w:b w:val="1"/>
          <w:color w:val="000000"/>
          <w:sz w:val="24"/>
          <w:szCs w:val="24"/>
          <w:rtl w:val="0"/>
        </w:rPr>
        <w:t xml:space="preserve">Roll No- TH2252 </w:t>
        <w:tab/>
        <w:tab/>
        <w:tab/>
        <w:tab/>
        <w:tab/>
        <w:tab/>
        <w:tab/>
        <w:tab/>
        <w:t xml:space="preserve">Class/ Div –TY </w:t>
      </w:r>
      <w:r w:rsidDel="00000000" w:rsidR="00000000" w:rsidRPr="00000000">
        <w:rPr>
          <w:rFonts w:ascii="Times New Roman" w:cs="Times New Roman" w:eastAsia="Times New Roman" w:hAnsi="Times New Roman"/>
          <w:b w:val="1"/>
          <w:sz w:val="24"/>
          <w:szCs w:val="24"/>
          <w:rtl w:val="0"/>
        </w:rPr>
        <w:t xml:space="preserve">H2</w:t>
      </w: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349" w:line="240" w:lineRule="auto"/>
        <w:ind w:left="0" w:firstLine="0"/>
        <w:jc w:val="center"/>
        <w:rPr>
          <w:b w:val="1"/>
          <w:color w:val="000000"/>
          <w:sz w:val="28"/>
          <w:szCs w:val="28"/>
        </w:rPr>
      </w:pPr>
      <w:r w:rsidDel="00000000" w:rsidR="00000000" w:rsidRPr="00000000">
        <w:rPr>
          <w:b w:val="1"/>
          <w:color w:val="000000"/>
          <w:sz w:val="28"/>
          <w:szCs w:val="28"/>
          <w:rtl w:val="0"/>
        </w:rPr>
        <w:t xml:space="preserve">Barclays’ Quantum-Ready Transformation with Cryptomathic</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438"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Abstract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54" w:line="280" w:lineRule="auto"/>
        <w:ind w:left="11" w:right="73" w:hanging="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This case study examines how Barclays, a global financial services leader, leveraged Cryptomathic’s Crypto Service Gateway (CSG) to address escalating cryptographic costs, complex and siloed Hardware Security Module (HSM) infrastructure, and the emergent threat of quantum computing. The study details the process by which CSG provided a centralized cryptographic management solution, enabling Barclays to achieve significant cost savings, enhance cryptographic agility, and establish a future-proof security infrastructure ready for post-quantum cryptography (PQC). It explores the challenges faced by Barclays, the strategic objectives of the partnership with Cryptomathic, and the transformative results achieved, highlighting the critical importance of cryptographic agility in a rapidly evolving threat landscape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354" w:line="240" w:lineRule="auto"/>
        <w:ind w:left="1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Key words </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60" w:line="280" w:lineRule="auto"/>
        <w:ind w:right="71" w:firstLine="1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Barclays, Cryptomathic, Crypto Service Gateway (CSG), Quantum Computing, Post-Quantum Cryptography, Cryptographic Agility, HSM, Information Security Policy</w:t>
      </w: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60" w:line="240" w:lineRule="auto"/>
        <w:ind w:left="18"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60" w:line="240" w:lineRule="auto"/>
        <w:ind w:left="1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Introduction </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54" w:line="280" w:lineRule="auto"/>
        <w:ind w:left="12" w:right="70" w:firstLine="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Barclays is a multinational banking and financial services company with a legacy exceeding three centuries. With operations in over 50 countries, the bank has a reputation for pioneering technological innovations in the banking sector. As cyber threats grow more sophisticated, Barclays has prioritized cryptographic security, viewing it as essential to both operational resilience and future-readiness.</w:t>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54" w:line="280" w:lineRule="auto"/>
        <w:ind w:left="12" w:right="70" w:firstLine="8"/>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54" w:line="280" w:lineRule="auto"/>
        <w:ind w:left="12" w:right="70" w:firstLine="8"/>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354" w:line="240" w:lineRule="auto"/>
        <w:ind w:left="1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Background </w:t>
      </w:r>
    </w:p>
    <w:p w:rsidR="00000000" w:rsidDel="00000000" w:rsidP="00000000" w:rsidRDefault="00000000" w:rsidRPr="00000000" w14:paraId="00000013">
      <w:pPr>
        <w:widowControl w:val="0"/>
        <w:spacing w:after="240" w:before="24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transformation in banking has necessitated more robust, scalable, and forward-looking security measures. Barclays' cryptographic infrastructure was traditionally fragmented and heavily reliant on numerous siloed Hardware Security Modules (HSMs). These posed operational inefficiencies, growing costs, and inadequate preparedness for the quantum computing era, which could undermine conventional cryptographic protocols.</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79" w:lineRule="auto"/>
        <w:ind w:left="8" w:right="7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21" w:line="240" w:lineRule="auto"/>
        <w:ind w:left="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Scenario </w:t>
      </w:r>
    </w:p>
    <w:p w:rsidR="00000000" w:rsidDel="00000000" w:rsidP="00000000" w:rsidRDefault="00000000" w:rsidRPr="00000000" w14:paraId="00000016">
      <w:pPr>
        <w:widowControl w:val="0"/>
        <w:spacing w:after="240" w:before="240" w:line="28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Barclays faced several challenges:</w:t>
      </w:r>
    </w:p>
    <w:p w:rsidR="00000000" w:rsidDel="00000000" w:rsidP="00000000" w:rsidRDefault="00000000" w:rsidRPr="00000000" w14:paraId="00000017">
      <w:pPr>
        <w:widowControl w:val="0"/>
        <w:numPr>
          <w:ilvl w:val="0"/>
          <w:numId w:val="1"/>
        </w:numPr>
        <w:spacing w:after="0" w:afterAutospacing="0" w:before="24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Escalating costs due to managing hundreds of siloed HSMs.</w:t>
      </w:r>
    </w:p>
    <w:p w:rsidR="00000000" w:rsidDel="00000000" w:rsidP="00000000" w:rsidRDefault="00000000" w:rsidRPr="00000000" w14:paraId="00000018">
      <w:pPr>
        <w:widowControl w:val="0"/>
        <w:numPr>
          <w:ilvl w:val="0"/>
          <w:numId w:val="1"/>
        </w:numPr>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Delays in cryptographic operations and updates.</w:t>
      </w:r>
    </w:p>
    <w:p w:rsidR="00000000" w:rsidDel="00000000" w:rsidP="00000000" w:rsidRDefault="00000000" w:rsidRPr="00000000" w14:paraId="00000019">
      <w:pPr>
        <w:widowControl w:val="0"/>
        <w:numPr>
          <w:ilvl w:val="0"/>
          <w:numId w:val="1"/>
        </w:numPr>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Vulnerability to future quantum computing threats.</w:t>
      </w:r>
    </w:p>
    <w:p w:rsidR="00000000" w:rsidDel="00000000" w:rsidP="00000000" w:rsidRDefault="00000000" w:rsidRPr="00000000" w14:paraId="0000001A">
      <w:pPr>
        <w:widowControl w:val="0"/>
        <w:numPr>
          <w:ilvl w:val="0"/>
          <w:numId w:val="1"/>
        </w:numPr>
        <w:spacing w:after="0" w:afterAutospacing="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in integrating post-quantum algorithms.</w:t>
      </w:r>
    </w:p>
    <w:p w:rsidR="00000000" w:rsidDel="00000000" w:rsidP="00000000" w:rsidRDefault="00000000" w:rsidRPr="00000000" w14:paraId="0000001B">
      <w:pPr>
        <w:widowControl w:val="0"/>
        <w:numPr>
          <w:ilvl w:val="0"/>
          <w:numId w:val="1"/>
        </w:numPr>
        <w:spacing w:after="240" w:before="0" w:beforeAutospacing="0" w:line="28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complexity and limited cryptographic agility.</w:t>
      </w:r>
    </w:p>
    <w:p w:rsidR="00000000" w:rsidDel="00000000" w:rsidP="00000000" w:rsidRDefault="00000000" w:rsidRPr="00000000" w14:paraId="0000001C">
      <w:pPr>
        <w:widowControl w:val="0"/>
        <w:spacing w:after="240" w:before="240" w:line="28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Barclays partnered with Cryptomathic to adopt its Crypto Service Gateway (CSG), a centralized cryptographic management system that promised enhanced agility, reduced complexity, and quantum-readiness.</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before="54" w:line="281" w:lineRule="auto"/>
        <w:ind w:left="12" w:right="75" w:hanging="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before="333" w:line="240" w:lineRule="auto"/>
        <w:ind w:left="1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Objectives </w:t>
      </w:r>
    </w:p>
    <w:p w:rsidR="00000000" w:rsidDel="00000000" w:rsidP="00000000" w:rsidRDefault="00000000" w:rsidRPr="00000000" w14:paraId="0000001F">
      <w:pPr>
        <w:widowControl w:val="0"/>
        <w:numPr>
          <w:ilvl w:val="0"/>
          <w:numId w:val="2"/>
        </w:numPr>
        <w:spacing w:after="0" w:afterAutospacing="0" w:before="240" w:line="29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 and streamline cryptographic operations across Barclays' global network.</w:t>
      </w:r>
    </w:p>
    <w:p w:rsidR="00000000" w:rsidDel="00000000" w:rsidP="00000000" w:rsidRDefault="00000000" w:rsidRPr="00000000" w14:paraId="00000020">
      <w:pPr>
        <w:widowControl w:val="0"/>
        <w:numPr>
          <w:ilvl w:val="0"/>
          <w:numId w:val="2"/>
        </w:numPr>
        <w:spacing w:after="0" w:afterAutospacing="0" w:before="0" w:beforeAutospacing="0" w:line="29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cryptographic infrastructure costs by optimizing HSM usage.</w:t>
      </w:r>
    </w:p>
    <w:p w:rsidR="00000000" w:rsidDel="00000000" w:rsidP="00000000" w:rsidRDefault="00000000" w:rsidRPr="00000000" w14:paraId="00000021">
      <w:pPr>
        <w:widowControl w:val="0"/>
        <w:numPr>
          <w:ilvl w:val="0"/>
          <w:numId w:val="2"/>
        </w:numPr>
        <w:spacing w:after="0" w:afterAutospacing="0" w:before="0" w:beforeAutospacing="0" w:line="29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seamless adoption of future cryptographic standards, including post-quantum algorithms.</w:t>
      </w:r>
    </w:p>
    <w:p w:rsidR="00000000" w:rsidDel="00000000" w:rsidP="00000000" w:rsidRDefault="00000000" w:rsidRPr="00000000" w14:paraId="00000022">
      <w:pPr>
        <w:widowControl w:val="0"/>
        <w:numPr>
          <w:ilvl w:val="0"/>
          <w:numId w:val="2"/>
        </w:numPr>
        <w:spacing w:after="0" w:afterAutospacing="0" w:before="0" w:beforeAutospacing="0" w:line="29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Simplify compliance, audit processes, and vendor management.</w:t>
      </w:r>
    </w:p>
    <w:p w:rsidR="00000000" w:rsidDel="00000000" w:rsidP="00000000" w:rsidRDefault="00000000" w:rsidRPr="00000000" w14:paraId="00000023">
      <w:pPr>
        <w:widowControl w:val="0"/>
        <w:numPr>
          <w:ilvl w:val="0"/>
          <w:numId w:val="2"/>
        </w:numPr>
        <w:spacing w:after="240" w:before="0" w:beforeAutospacing="0" w:line="29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 cryptographic agility without compromising security or operational efficiency.</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ind w:left="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Key Findings </w:t>
      </w:r>
    </w:p>
    <w:p w:rsidR="00000000" w:rsidDel="00000000" w:rsidP="00000000" w:rsidRDefault="00000000" w:rsidRPr="00000000" w14:paraId="00000025">
      <w:pPr>
        <w:widowControl w:val="0"/>
        <w:spacing w:before="15" w:line="283" w:lineRule="auto"/>
        <w:ind w:left="919" w:right="80" w:hanging="361"/>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widowControl w:val="0"/>
        <w:numPr>
          <w:ilvl w:val="0"/>
          <w:numId w:val="3"/>
        </w:numPr>
        <w:spacing w:after="0" w:afterAutospacing="0" w:before="15" w:line="283" w:lineRule="auto"/>
        <w:ind w:left="720" w:right="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Centralized Control and Cost Reduction</w:t>
        <w:br w:type="textWrapping"/>
      </w:r>
      <w:r w:rsidDel="00000000" w:rsidR="00000000" w:rsidRPr="00000000">
        <w:rPr>
          <w:rFonts w:ascii="Times New Roman" w:cs="Times New Roman" w:eastAsia="Times New Roman" w:hAnsi="Times New Roman"/>
          <w:sz w:val="24"/>
          <w:szCs w:val="24"/>
          <w:rtl w:val="0"/>
        </w:rPr>
        <w:t xml:space="preserve"> Barclays successfully reduced infrastructure costs by optimizing HSM usage and centralizing over 200 applications under one cryptographic management framework. This allowed reinvestment into post-quantum research and implementation.</w:t>
        <w:br w:type="textWrapping"/>
      </w:r>
    </w:p>
    <w:p w:rsidR="00000000" w:rsidDel="00000000" w:rsidP="00000000" w:rsidRDefault="00000000" w:rsidRPr="00000000" w14:paraId="00000027">
      <w:pPr>
        <w:widowControl w:val="0"/>
        <w:numPr>
          <w:ilvl w:val="0"/>
          <w:numId w:val="3"/>
        </w:numPr>
        <w:spacing w:after="0" w:afterAutospacing="0" w:before="0" w:beforeAutospacing="0" w:line="283" w:lineRule="auto"/>
        <w:ind w:left="720" w:right="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Improved Cryptographic Agility</w:t>
        <w:br w:type="textWrapping"/>
      </w:r>
      <w:r w:rsidDel="00000000" w:rsidR="00000000" w:rsidRPr="00000000">
        <w:rPr>
          <w:rFonts w:ascii="Times New Roman" w:cs="Times New Roman" w:eastAsia="Times New Roman" w:hAnsi="Times New Roman"/>
          <w:sz w:val="24"/>
          <w:szCs w:val="24"/>
          <w:rtl w:val="0"/>
        </w:rPr>
        <w:t xml:space="preserve"> Deployment times were reduced from months to weeks due to streamlined cryptographic update processes and better operational integration.</w:t>
        <w:br w:type="textWrapping"/>
      </w:r>
    </w:p>
    <w:p w:rsidR="00000000" w:rsidDel="00000000" w:rsidP="00000000" w:rsidRDefault="00000000" w:rsidRPr="00000000" w14:paraId="00000028">
      <w:pPr>
        <w:widowControl w:val="0"/>
        <w:numPr>
          <w:ilvl w:val="0"/>
          <w:numId w:val="3"/>
        </w:numPr>
        <w:spacing w:after="0" w:afterAutospacing="0" w:before="0" w:beforeAutospacing="0" w:line="283" w:lineRule="auto"/>
        <w:ind w:left="720" w:right="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Quantum-Safe Readiness</w:t>
        <w:br w:type="textWrapping"/>
      </w:r>
      <w:r w:rsidDel="00000000" w:rsidR="00000000" w:rsidRPr="00000000">
        <w:rPr>
          <w:rFonts w:ascii="Times New Roman" w:cs="Times New Roman" w:eastAsia="Times New Roman" w:hAnsi="Times New Roman"/>
          <w:sz w:val="24"/>
          <w:szCs w:val="24"/>
          <w:rtl w:val="0"/>
        </w:rPr>
        <w:t xml:space="preserve"> The CSG platform was designed to be compatible with post-quantum algorithms. Barclays ensured minimal disruption in transitioning to quantum-safe systems.</w:t>
        <w:br w:type="textWrapping"/>
      </w:r>
    </w:p>
    <w:p w:rsidR="00000000" w:rsidDel="00000000" w:rsidP="00000000" w:rsidRDefault="00000000" w:rsidRPr="00000000" w14:paraId="00000029">
      <w:pPr>
        <w:widowControl w:val="0"/>
        <w:numPr>
          <w:ilvl w:val="0"/>
          <w:numId w:val="3"/>
        </w:numPr>
        <w:spacing w:after="0" w:afterAutospacing="0" w:before="0" w:beforeAutospacing="0" w:line="283" w:lineRule="auto"/>
        <w:ind w:left="720" w:right="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Operational Simplification</w:t>
        <w:br w:type="textWrapping"/>
      </w:r>
      <w:r w:rsidDel="00000000" w:rsidR="00000000" w:rsidRPr="00000000">
        <w:rPr>
          <w:rFonts w:ascii="Times New Roman" w:cs="Times New Roman" w:eastAsia="Times New Roman" w:hAnsi="Times New Roman"/>
          <w:sz w:val="24"/>
          <w:szCs w:val="24"/>
          <w:rtl w:val="0"/>
        </w:rPr>
        <w:t xml:space="preserve"> Compliance procedures were simplified with unified cryptographic policies. Audit costs decreased due to consistent policy enforcement and centralized logging.</w:t>
        <w:br w:type="textWrapping"/>
      </w:r>
    </w:p>
    <w:p w:rsidR="00000000" w:rsidDel="00000000" w:rsidP="00000000" w:rsidRDefault="00000000" w:rsidRPr="00000000" w14:paraId="0000002A">
      <w:pPr>
        <w:widowControl w:val="0"/>
        <w:numPr>
          <w:ilvl w:val="0"/>
          <w:numId w:val="3"/>
        </w:numPr>
        <w:spacing w:after="0" w:afterAutospacing="0" w:before="0" w:beforeAutospacing="0" w:line="283" w:lineRule="auto"/>
        <w:ind w:left="720" w:right="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Vendor Neutrality and Scalability</w:t>
        <w:br w:type="textWrapping"/>
      </w:r>
      <w:r w:rsidDel="00000000" w:rsidR="00000000" w:rsidRPr="00000000">
        <w:rPr>
          <w:rFonts w:ascii="Times New Roman" w:cs="Times New Roman" w:eastAsia="Times New Roman" w:hAnsi="Times New Roman"/>
          <w:sz w:val="24"/>
          <w:szCs w:val="24"/>
          <w:rtl w:val="0"/>
        </w:rPr>
        <w:t xml:space="preserve"> CSG’s support for multiple HSM vendors eliminated vendor lock-in. The framework supported global scalability, operating efficiently in hubs across the UK, Singapore, and the US.</w:t>
        <w:br w:type="textWrapping"/>
      </w:r>
    </w:p>
    <w:p w:rsidR="00000000" w:rsidDel="00000000" w:rsidP="00000000" w:rsidRDefault="00000000" w:rsidRPr="00000000" w14:paraId="0000002B">
      <w:pPr>
        <w:widowControl w:val="0"/>
        <w:numPr>
          <w:ilvl w:val="0"/>
          <w:numId w:val="3"/>
        </w:numPr>
        <w:spacing w:before="0" w:beforeAutospacing="0" w:line="283" w:lineRule="auto"/>
        <w:ind w:left="720" w:right="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Enhanced Lifecycle Management</w:t>
        <w:br w:type="textWrapping"/>
      </w:r>
      <w:r w:rsidDel="00000000" w:rsidR="00000000" w:rsidRPr="00000000">
        <w:rPr>
          <w:rFonts w:ascii="Times New Roman" w:cs="Times New Roman" w:eastAsia="Times New Roman" w:hAnsi="Times New Roman"/>
          <w:sz w:val="24"/>
          <w:szCs w:val="24"/>
          <w:rtl w:val="0"/>
        </w:rPr>
        <w:t xml:space="preserve"> Integration with Cryptomathic’s CrystalKey platform enabled advanced key lifecycle management and further improved cryptographic flexibility.</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before="15" w:line="283" w:lineRule="auto"/>
        <w:ind w:left="919" w:right="80" w:hanging="36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before="292" w:line="240" w:lineRule="auto"/>
        <w:ind w:left="11"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before="292" w:line="240" w:lineRule="auto"/>
        <w:ind w:left="1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before="299" w:line="280" w:lineRule="auto"/>
        <w:ind w:left="273" w:firstLine="16.00000000000001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Barclays' strategic collaboration with Cryptomathic reflects a proactive and forward-thinking approach to cybersecurity. The implementation of the Crypto Service Gateway has not only solved existing cryptographic inefficiencies but also provided a robust foundation for quantum-era threats. Through centralized control, cost savings, and enhanced agility, Barclays has become a benchmark in secure digital banking transformation. This case exemplifies the importance of cryptographic agility and vendor-agnostic architectures in the evolving landscape of information security.</w:t>
      </w: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before="294" w:line="240" w:lineRule="auto"/>
        <w:ind w:left="18"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before="294" w:line="240" w:lineRule="auto"/>
        <w:ind w:left="1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before="69" w:line="240" w:lineRule="auto"/>
        <w:ind w:left="3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Cryptomathic. (2023). </w:t>
      </w:r>
      <w:r w:rsidDel="00000000" w:rsidR="00000000" w:rsidRPr="00000000">
        <w:rPr>
          <w:rFonts w:ascii="Times New Roman" w:cs="Times New Roman" w:eastAsia="Times New Roman" w:hAnsi="Times New Roman"/>
          <w:i w:val="1"/>
          <w:sz w:val="24"/>
          <w:szCs w:val="24"/>
          <w:rtl w:val="0"/>
        </w:rPr>
        <w:t xml:space="preserve">Barclays’ Quantum-Ready Transformation with Cryptomathic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before="69" w:line="240" w:lineRule="auto"/>
        <w:ind w:left="372"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before="69"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before="69"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before="69" w:line="240" w:lineRule="auto"/>
        <w:ind w:left="3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07th  August 2025</w:t>
      </w: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before="69" w:line="240" w:lineRule="auto"/>
        <w:ind w:left="372"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Date of Submission</w:t>
        <w:tab/>
        <w:tab/>
        <w:tab/>
        <w:tab/>
        <w:tab/>
        <w:tab/>
        <w:tab/>
        <w:t xml:space="preserve">Sign of Instructor</w:t>
      </w:r>
    </w:p>
    <w:sectPr>
      <w:pgSz w:h="15840" w:w="12240" w:orient="portrait"/>
      <w:pgMar w:bottom="1540" w:top="810" w:left="1440" w:right="13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color w:val="000000"/>
      <w:sz w:val="48"/>
      <w:szCs w:val="4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b w:val="1"/>
      <w:color w:val="000000"/>
      <w:sz w:val="36"/>
      <w:szCs w:val="3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280" w:lineRule="auto"/>
    </w:pPr>
    <w:rPr>
      <w:b w:val="1"/>
      <w:color w:val="000000"/>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Rule="auto"/>
    </w:pPr>
    <w:rPr>
      <w:b w:val="1"/>
      <w:color w:val="000000"/>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Rule="auto"/>
    </w:pPr>
    <w:rPr>
      <w:b w:val="1"/>
      <w:color w:val="000000"/>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Rule="auto"/>
    </w:pPr>
    <w:rPr>
      <w:b w:val="1"/>
      <w:color w:val="000000"/>
      <w:sz w:val="20"/>
      <w:szCs w:val="2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color w:val="000000"/>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hsmATo8Rlq4yPY3FbG6NKtTYHQ==">CgMxLjAyDmgudGRyM3Zuc3QzNm94OAByITFFQXJCdExpVkx4VHZNaGpPMTUtYS1faEJrOXNvN0NrUg==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2025-08-07T03:09:00Z</dcterms:created>
</cp:coreProperties>
</file>