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00" w:line="331"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019425" cy="766763"/>
            <wp:effectExtent b="0" l="0" r="0" t="0"/>
            <wp:docPr descr="MIT Alandi.png" id="1" name="image1.png"/>
            <a:graphic>
              <a:graphicData uri="http://schemas.openxmlformats.org/drawingml/2006/picture">
                <pic:pic>
                  <pic:nvPicPr>
                    <pic:cNvPr descr="MIT Alandi.png" id="0" name="image1.png"/>
                    <pic:cNvPicPr preferRelativeResize="0"/>
                  </pic:nvPicPr>
                  <pic:blipFill>
                    <a:blip r:embed="rId6"/>
                    <a:srcRect b="0" l="0" r="0" t="0"/>
                    <a:stretch>
                      <a:fillRect/>
                    </a:stretch>
                  </pic:blipFill>
                  <pic:spPr>
                    <a:xfrm>
                      <a:off x="0" y="0"/>
                      <a:ext cx="3019425" cy="7667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School of Computer Science &amp; Application</w:t>
        <w:br w:type="textWrapping"/>
        <w:t xml:space="preserve">Department of Design, Analytics and Cyber Security</w:t>
      </w:r>
    </w:p>
    <w:p w:rsidR="00000000" w:rsidDel="00000000" w:rsidP="00000000" w:rsidRDefault="00000000" w:rsidRPr="00000000" w14:paraId="00000003">
      <w:pPr>
        <w:widowControl w:val="0"/>
        <w:spacing w:before="7" w:line="240" w:lineRule="auto"/>
        <w:ind w:left="1530" w:right="147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 Y. BSc Cyber and Digital Science </w:t>
      </w:r>
    </w:p>
    <w:p w:rsidR="00000000" w:rsidDel="00000000" w:rsidP="00000000" w:rsidRDefault="00000000" w:rsidRPr="00000000" w14:paraId="00000004">
      <w:pPr>
        <w:widowControl w:val="0"/>
        <w:spacing w:before="29" w:line="240" w:lineRule="auto"/>
        <w:ind w:left="1530" w:right="147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Academic Year 2025–2026</w:t>
      </w:r>
    </w:p>
    <w:p w:rsidR="00000000" w:rsidDel="00000000" w:rsidP="00000000" w:rsidRDefault="00000000" w:rsidRPr="00000000" w14:paraId="00000005">
      <w:pPr>
        <w:widowControl w:val="0"/>
        <w:spacing w:before="29" w:line="240" w:lineRule="auto"/>
        <w:ind w:left="1530" w:right="147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Information Security policy and Audit </w:t>
        <w:br w:type="textWrapping"/>
      </w:r>
    </w:p>
    <w:p w:rsidR="00000000" w:rsidDel="00000000" w:rsidP="00000000" w:rsidRDefault="00000000" w:rsidRPr="00000000" w14:paraId="00000006">
      <w:pPr>
        <w:widowControl w:val="0"/>
        <w:spacing w:before="29"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Name-Yash Pardeshi</w:t>
        <w:tab/>
        <w:tab/>
        <w:tab/>
        <w:tab/>
        <w:tab/>
        <w:tab/>
        <w:t xml:space="preserve">Date -21/08/2025 </w:t>
      </w:r>
    </w:p>
    <w:p w:rsidR="00000000" w:rsidDel="00000000" w:rsidP="00000000" w:rsidRDefault="00000000" w:rsidRPr="00000000" w14:paraId="00000007">
      <w:pPr>
        <w:widowControl w:val="0"/>
        <w:spacing w:before="29" w:line="276" w:lineRule="auto"/>
        <w:rPr>
          <w:rFonts w:ascii="Times New Roman" w:cs="Times New Roman" w:eastAsia="Times New Roman" w:hAnsi="Times New Roman"/>
          <w:b w:val="1"/>
          <w:bCs w:val="1"/>
          <w:sz w:val="24"/>
          <w:szCs w:val="24"/>
        </w:rPr>
      </w:pPr>
      <w:bookmarkStart w:colFirst="0" w:colLast="0" w:name="_tdr3vnst36ox" w:id="0"/>
      <w:bookmarkEnd w:id="0"/>
      <w:r w:rsidDel="00000000" w:rsidR="00000000" w:rsidRPr="00000000">
        <w:rPr>
          <w:rFonts w:ascii="Times New Roman" w:cs="Times New Roman" w:eastAsia="Times New Roman" w:hAnsi="Times New Roman"/>
          <w:b w:val="1"/>
          <w:bCs w:val="1"/>
          <w:sz w:val="24"/>
          <w:szCs w:val="24"/>
          <w:rtl w:val="0"/>
        </w:rPr>
        <w:t xml:space="preserve">Roll No- TH2252 </w:t>
        <w:tab/>
        <w:tab/>
        <w:tab/>
        <w:tab/>
        <w:tab/>
        <w:tab/>
        <w:tab/>
        <w:tab/>
        <w:t xml:space="preserve">Class/ Div –TY H2</w:t>
      </w:r>
    </w:p>
    <w:p w:rsidR="00000000" w:rsidDel="00000000" w:rsidP="00000000" w:rsidRDefault="00000000" w:rsidRPr="00000000" w14:paraId="00000008">
      <w:pP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b w:val="1"/>
          <w:bCs w:val="1"/>
          <w:sz w:val="28"/>
          <w:szCs w:val="28"/>
          <w:rtl w:val="0"/>
        </w:rPr>
        <w:t xml:space="preserve">US–GDPR Gap Analysis Report</w:t>
      </w:r>
    </w:p>
    <w:p w:rsidR="00000000" w:rsidDel="00000000" w:rsidP="00000000" w:rsidRDefault="00000000" w:rsidRPr="00000000" w14:paraId="0000000A">
      <w:pPr>
        <w:rPr>
          <w:b w:val="1"/>
          <w:bCs w:val="1"/>
          <w:sz w:val="28"/>
          <w:szCs w:val="28"/>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Purpose</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evaluates the gaps between U.S. data protection practices and the European Union’s General Data Protection Regulation (GDPR). It highlights compliance risks, provides an audit framework, and suggests recommendations to align U.S. organizational practices with GDPR standards.</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Scope</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Applies to all U.S.-based entities handling EU personal data, including subsidiaries, contractors, and third-party processors.</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Policy Objectives</w:t>
      </w:r>
    </w:p>
    <w:p w:rsidR="00000000" w:rsidDel="00000000" w:rsidP="00000000" w:rsidRDefault="00000000" w:rsidRPr="00000000" w14:paraId="00000012">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Identify compliance gaps between U.S. practices and GDPR.</w:t>
      </w:r>
    </w:p>
    <w:p w:rsidR="00000000" w:rsidDel="00000000" w:rsidP="00000000" w:rsidRDefault="00000000" w:rsidRPr="00000000" w14:paraId="00000013">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Assess risks of non-compliance (regulatory fines, reputational damage).</w:t>
      </w:r>
    </w:p>
    <w:p w:rsidR="00000000" w:rsidDel="00000000" w:rsidP="00000000" w:rsidRDefault="00000000" w:rsidRPr="00000000" w14:paraId="00000014">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Recommend corrective actions for alignment.</w:t>
      </w:r>
    </w:p>
    <w:p w:rsidR="00000000" w:rsidDel="00000000" w:rsidP="00000000" w:rsidRDefault="00000000" w:rsidRPr="00000000" w14:paraId="0000001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Training Process Flow</w:t>
      </w:r>
    </w:p>
    <w:p w:rsidR="00000000" w:rsidDel="00000000" w:rsidP="00000000" w:rsidRDefault="00000000" w:rsidRPr="00000000" w14:paraId="0000001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Stages: </w:t>
      </w:r>
      <w:r w:rsidDel="00000000" w:rsidR="00000000" w:rsidRPr="00000000">
        <w:rPr>
          <w:rFonts w:ascii="Cardo" w:cs="Cardo" w:eastAsia="Cardo" w:hAnsi="Cardo"/>
          <w:sz w:val="24"/>
          <w:szCs w:val="24"/>
          <w:rtl w:val="0"/>
        </w:rPr>
        <w:t xml:space="preserve">Data Mapping → Gap Identification → Risk Analysis → Compliance Assessment → Remediation Plan → Review &amp; Continuous Improvement</w:t>
      </w:r>
    </w:p>
    <w:p w:rsidR="00000000" w:rsidDel="00000000" w:rsidP="00000000" w:rsidRDefault="00000000" w:rsidRPr="00000000" w14:paraId="0000001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Roles and Responsibilities </w:t>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tl w:val="0"/>
        </w:rPr>
      </w:r>
    </w:p>
    <w:tbl>
      <w:tblPr>
        <w:tblStyle w:val="Table1"/>
        <w:tblW w:w="85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85"/>
        <w:gridCol w:w="5405"/>
        <w:tblGridChange w:id="0">
          <w:tblGrid>
            <w:gridCol w:w="3185"/>
            <w:gridCol w:w="540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Responsibility</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Protection Officer (DPO)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Oversees GDPR compliance, reporting to regulators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Legal / Compliance Team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Interprets GDPR requirements for U.S. operations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 Security Team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Implements technical and organizational safeguards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HR / Training Team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employee awareness and compliance training</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Third-Party Vendors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comply with contractual GDPR obligations</w:t>
            </w:r>
          </w:p>
        </w:tc>
      </w:tr>
    </w:tbl>
    <w:p w:rsidR="00000000" w:rsidDel="00000000" w:rsidP="00000000" w:rsidRDefault="00000000" w:rsidRPr="00000000" w14:paraId="0000002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Training Program Components</w:t>
      </w:r>
    </w:p>
    <w:p w:rsidR="00000000" w:rsidDel="00000000" w:rsidP="00000000" w:rsidRDefault="00000000" w:rsidRPr="00000000" w14:paraId="0000003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Inventory &amp; Mapping – Identify data collected, processed, and stored.</w:t>
      </w:r>
    </w:p>
    <w:p w:rsidR="00000000" w:rsidDel="00000000" w:rsidP="00000000" w:rsidRDefault="00000000" w:rsidRPr="00000000" w14:paraId="00000032">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Legal Basis Evaluation – Verify lawful grounds for processing (consent, contract, legal obligation).</w:t>
      </w:r>
    </w:p>
    <w:p w:rsidR="00000000" w:rsidDel="00000000" w:rsidP="00000000" w:rsidRDefault="00000000" w:rsidRPr="00000000" w14:paraId="00000033">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Privacy Policy Review – Assess transparency and completeness.</w:t>
      </w:r>
    </w:p>
    <w:p w:rsidR="00000000" w:rsidDel="00000000" w:rsidP="00000000" w:rsidRDefault="00000000" w:rsidRPr="00000000" w14:paraId="00000034">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Subject Rights – Ensure access, rectification, erasure, and portability mechanisms exist.</w:t>
      </w:r>
    </w:p>
    <w:p w:rsidR="00000000" w:rsidDel="00000000" w:rsidP="00000000" w:rsidRDefault="00000000" w:rsidRPr="00000000" w14:paraId="00000035">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Cross-Border Transfers – Review compliance with EU–US data transfer mechanisms.</w:t>
      </w:r>
    </w:p>
    <w:p w:rsidR="00000000" w:rsidDel="00000000" w:rsidP="00000000" w:rsidRDefault="00000000" w:rsidRPr="00000000" w14:paraId="00000036">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Security Controls – Evaluate encryption, access management, and breach response.</w:t>
      </w:r>
    </w:p>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Governance &amp; Policy Audit</w:t>
      </w:r>
    </w:p>
    <w:p w:rsidR="00000000" w:rsidDel="00000000" w:rsidP="00000000" w:rsidRDefault="00000000" w:rsidRPr="00000000" w14:paraId="00000044">
      <w:pPr>
        <w:spacing w:line="36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50.415335463259"/>
        <w:gridCol w:w="932.0127795527156"/>
        <w:gridCol w:w="3877.571884984025"/>
        <w:tblGridChange w:id="0">
          <w:tblGrid>
            <w:gridCol w:w="4550.415335463259"/>
            <w:gridCol w:w="932.0127795527156"/>
            <w:gridCol w:w="3877.5718849840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Audit Item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Yes/No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Comments / Findings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 a Data Protection Officer appointed?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firms often lack a mandatory DPO role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 GDPR compliance formally approved by top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initiatives exist but lack board-level oversight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Are policies reviewed annually?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 updates not consistently aligned with GDPR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 vendor GDPR compliance monitored?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 risk assessments limited</w:t>
            </w:r>
          </w:p>
        </w:tc>
      </w:tr>
    </w:tbl>
    <w:p w:rsidR="00000000" w:rsidDel="00000000" w:rsidP="00000000" w:rsidRDefault="00000000" w:rsidRPr="00000000" w14:paraId="00000054">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jwjojckl62i9" w:id="1"/>
      <w:bookmarkEnd w:id="1"/>
      <w:r w:rsidDel="00000000" w:rsidR="00000000" w:rsidRPr="00000000">
        <w:rPr>
          <w:rFonts w:ascii="Times New Roman" w:cs="Times New Roman" w:eastAsia="Times New Roman" w:hAnsi="Times New Roman"/>
          <w:b w:val="1"/>
          <w:bCs w:val="1"/>
          <w:sz w:val="24"/>
          <w:szCs w:val="24"/>
          <w:rtl w:val="0"/>
        </w:rPr>
        <w:t xml:space="preserve">8. Compliance Program Design</w:t>
      </w:r>
    </w:p>
    <w:p w:rsidR="00000000" w:rsidDel="00000000" w:rsidP="00000000" w:rsidRDefault="00000000" w:rsidRPr="00000000" w14:paraId="00000057">
      <w:pPr>
        <w:spacing w:line="36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924.217252396166"/>
        <w:gridCol w:w="932.0127795527156"/>
        <w:gridCol w:w="3503.7699680511178"/>
        <w:tblGridChange w:id="0">
          <w:tblGrid>
            <w:gridCol w:w="4924.217252396166"/>
            <w:gridCol w:w="932.0127795527156"/>
            <w:gridCol w:w="3503.769968051117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Audit Item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Yes/No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Comments / Findings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Does the program include data subject rights processes?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Rights exist but not GDPR-standard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 consent management GDPR-compliant?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Consent not granular or revocable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Are cross-border transfers secured under SCCs or other mechanisms?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Reliance on outdated frameworks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 data retention clearly defined?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firms keep data longer than GDPR allows</w:t>
            </w:r>
          </w:p>
        </w:tc>
      </w:tr>
    </w:tbl>
    <w:p w:rsidR="00000000" w:rsidDel="00000000" w:rsidP="00000000" w:rsidRDefault="00000000" w:rsidRPr="00000000" w14:paraId="0000006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60" w:line="360" w:lineRule="auto"/>
        <w:ind w:left="0" w:right="0" w:firstLine="0"/>
        <w:jc w:val="left"/>
        <w:rPr>
          <w:rFonts w:ascii="Times New Roman" w:cs="Times New Roman" w:eastAsia="Times New Roman" w:hAnsi="Times New Roman"/>
          <w:b w:val="1"/>
          <w:bCs w:val="1"/>
          <w:sz w:val="24"/>
          <w:szCs w:val="24"/>
        </w:rPr>
      </w:pPr>
      <w:bookmarkStart w:colFirst="0" w:colLast="0" w:name="_7wfwksmrexzd" w:id="2"/>
      <w:bookmarkEnd w:id="2"/>
      <w:r w:rsidDel="00000000" w:rsidR="00000000" w:rsidRPr="00000000">
        <w:rPr>
          <w:rFonts w:ascii="Times New Roman" w:cs="Times New Roman" w:eastAsia="Times New Roman" w:hAnsi="Times New Roman"/>
          <w:b w:val="1"/>
          <w:bCs w:val="1"/>
          <w:sz w:val="24"/>
          <w:szCs w:val="24"/>
          <w:rtl w:val="0"/>
        </w:rPr>
        <w:t xml:space="preserve">9. Compliance Delivery &amp; Tracking</w:t>
      </w:r>
    </w:p>
    <w:p w:rsidR="00000000" w:rsidDel="00000000" w:rsidP="00000000" w:rsidRDefault="00000000" w:rsidRPr="00000000" w14:paraId="0000006C">
      <w:pPr>
        <w:spacing w:line="36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714.888178913738"/>
        <w:gridCol w:w="932.0127795527156"/>
        <w:gridCol w:w="3713.0990415335464"/>
        <w:tblGridChange w:id="0">
          <w:tblGrid>
            <w:gridCol w:w="4714.888178913738"/>
            <w:gridCol w:w="932.0127795527156"/>
            <w:gridCol w:w="3713.099041533546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Audit Item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Yes/No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Comments / Findings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 breach notification within 72 hours?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laws vary, not GDPR-compliant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Are privacy notices user-friendly and transparent?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Notices exist but are legalistic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 employee training mandatory?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exists but not GDPR-focused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Are compliance records maintained?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insufficient</w:t>
            </w:r>
          </w:p>
        </w:tc>
      </w:tr>
    </w:tbl>
    <w:p w:rsidR="00000000" w:rsidDel="00000000" w:rsidP="00000000" w:rsidRDefault="00000000" w:rsidRPr="00000000" w14:paraId="0000007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Post-Training Evaluation </w:t>
      </w:r>
    </w:p>
    <w:p w:rsidR="00000000" w:rsidDel="00000000" w:rsidP="00000000" w:rsidRDefault="00000000" w:rsidRPr="00000000" w14:paraId="0000007F">
      <w:pPr>
        <w:spacing w:line="36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191.5654952076675"/>
        <w:gridCol w:w="932.0127795527156"/>
        <w:gridCol w:w="4236.4217252396165"/>
        <w:tblGridChange w:id="0">
          <w:tblGrid>
            <w:gridCol w:w="4191.5654952076675"/>
            <w:gridCol w:w="932.0127795527156"/>
            <w:gridCol w:w="4236.42172523961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Audit Item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Yes/No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Comments / Findings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 compliance effectiveness measured with KPIs?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formal metrics in place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Are lessons learned fed into compliance updates?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Reactive improvements only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 there a continuous improvement plan?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GDPR compliance not integrated into governance</w:t>
            </w:r>
          </w:p>
        </w:tc>
      </w:tr>
    </w:tbl>
    <w:p w:rsidR="00000000" w:rsidDel="00000000" w:rsidP="00000000" w:rsidRDefault="00000000" w:rsidRPr="00000000" w14:paraId="0000008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E">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6jdhaikbw98" w:id="3"/>
      <w:bookmarkEnd w:id="3"/>
      <w:r w:rsidDel="00000000" w:rsidR="00000000" w:rsidRPr="00000000">
        <w:rPr>
          <w:rtl w:val="0"/>
        </w:rPr>
      </w:r>
    </w:p>
    <w:p w:rsidR="00000000" w:rsidDel="00000000" w:rsidP="00000000" w:rsidRDefault="00000000" w:rsidRPr="00000000" w14:paraId="0000008F">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ieig7e9ao9da" w:id="4"/>
      <w:bookmarkEnd w:id="4"/>
      <w:r w:rsidDel="00000000" w:rsidR="00000000" w:rsidRPr="00000000">
        <w:rPr>
          <w:rtl w:val="0"/>
        </w:rPr>
      </w:r>
    </w:p>
    <w:p w:rsidR="00000000" w:rsidDel="00000000" w:rsidP="00000000" w:rsidRDefault="00000000" w:rsidRPr="00000000" w14:paraId="00000090">
      <w:pPr>
        <w:pStyle w:val="Heading2"/>
        <w:keepNext w:val="0"/>
        <w:keepLines w:val="0"/>
        <w:spacing w:after="80" w:line="360" w:lineRule="auto"/>
        <w:rPr>
          <w:rFonts w:ascii="Times New Roman" w:cs="Times New Roman" w:eastAsia="Times New Roman" w:hAnsi="Times New Roman"/>
          <w:b w:val="1"/>
          <w:bCs w:val="1"/>
          <w:sz w:val="24"/>
          <w:szCs w:val="24"/>
        </w:rPr>
      </w:pPr>
      <w:bookmarkStart w:colFirst="0" w:colLast="0" w:name="_2673m1ogfnp1" w:id="5"/>
      <w:bookmarkEnd w:id="5"/>
      <w:r w:rsidDel="00000000" w:rsidR="00000000" w:rsidRPr="00000000">
        <w:rPr>
          <w:rFonts w:ascii="Times New Roman" w:cs="Times New Roman" w:eastAsia="Times New Roman" w:hAnsi="Times New Roman"/>
          <w:b w:val="1"/>
          <w:bCs w:val="1"/>
          <w:sz w:val="24"/>
          <w:szCs w:val="24"/>
          <w:rtl w:val="0"/>
        </w:rPr>
        <w:t xml:space="preserve">11. Gaps &amp; Recommendations</w:t>
      </w:r>
    </w:p>
    <w:p w:rsidR="00000000" w:rsidDel="00000000" w:rsidP="00000000" w:rsidRDefault="00000000" w:rsidRPr="00000000" w14:paraId="00000091">
      <w:pPr>
        <w:rPr/>
      </w:pPr>
      <w:r w:rsidDel="00000000" w:rsidR="00000000" w:rsidRPr="00000000">
        <w:rPr>
          <w:rtl w:val="0"/>
        </w:rPr>
      </w:r>
    </w:p>
    <w:tbl>
      <w:tblPr>
        <w:tblStyle w:val="Table6"/>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15.648"/>
        <w:gridCol w:w="2730.624"/>
        <w:gridCol w:w="3913.728"/>
        <w:tblGridChange w:id="0">
          <w:tblGrid>
            <w:gridCol w:w="2715.648"/>
            <w:gridCol w:w="2730.624"/>
            <w:gridCol w:w="3913.72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b w:val="1"/>
                <w:bCs w:val="1"/>
                <w:rtl w:val="0"/>
              </w:rPr>
              <w:t xml:space="preserve">Gap Identified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b w:val="1"/>
                <w:bCs w:val="1"/>
                <w:rtl w:val="0"/>
              </w:rPr>
              <w:t xml:space="preserve">Risk / 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b w:val="1"/>
                <w:bCs w:val="1"/>
                <w:rtl w:val="0"/>
              </w:rPr>
              <w:t xml:space="preserve">Recommendation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Lack of DPO role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Regulatory non-compliance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Appoint a DPO or designate EU representative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Weak consent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Invalid processing basis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Implement granular, revocable consent systems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No 72-hour breach notification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Fines, reputational loss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Adopt GDPR-aligned incident response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Insufficient vendor oversight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Third-party non-compliance risk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Enforce GDPR clauses in vendor contracts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Over-retention of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Legal &amp; regulatory fines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Define and enforce data retention schedules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Poor documentation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Inability to prove compliance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Maintain GDPR audit trail and records</w:t>
            </w:r>
          </w:p>
        </w:tc>
      </w:tr>
    </w:tbl>
    <w:p w:rsidR="00000000" w:rsidDel="00000000" w:rsidP="00000000" w:rsidRDefault="00000000" w:rsidRPr="00000000" w14:paraId="000000A7">
      <w:pPr>
        <w:rPr/>
      </w:pPr>
      <w:r w:rsidDel="00000000" w:rsidR="00000000" w:rsidRPr="00000000">
        <w:rPr>
          <w:rtl w:val="0"/>
        </w:rPr>
      </w:r>
    </w:p>
    <w:sectPr>
      <w:headerReference r:id="rId7" w:type="default"/>
      <w:pgSz w:h="15840" w:w="12240" w:orient="portrait"/>
      <w:pgMar w:bottom="1440" w:top="63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