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The Case Study: Root Cause &amp; Impact</w:t>
        <w:br w:type="textWrapping"/>
      </w:r>
    </w:p>
    <w:p w:rsidR="00000000" w:rsidDel="00000000" w:rsidP="00000000" w:rsidRDefault="00000000" w:rsidRPr="00000000" w14:paraId="0000000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breach was not a sophisticated "zero-day" attack but rather a result of </w:t>
      </w:r>
      <w:r w:rsidDel="00000000" w:rsidR="00000000" w:rsidRPr="00000000">
        <w:rPr>
          <w:rFonts w:ascii="Times New Roman" w:cs="Times New Roman" w:eastAsia="Times New Roman" w:hAnsi="Times New Roman"/>
          <w:b w:val="1"/>
          <w:bCs w:val="1"/>
          <w:rtl w:val="0"/>
        </w:rPr>
        <w:t xml:space="preserve">administrative negligence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3">
      <w:pPr>
        <w:numPr>
          <w:ilvl w:val="0"/>
          <w:numId w:val="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Entry Point:</w:t>
      </w:r>
      <w:r w:rsidDel="00000000" w:rsidR="00000000" w:rsidRPr="00000000">
        <w:rPr>
          <w:rFonts w:ascii="Times New Roman" w:cs="Times New Roman" w:eastAsia="Times New Roman" w:hAnsi="Times New Roman"/>
          <w:rtl w:val="0"/>
        </w:rPr>
        <w:t xml:space="preserve"> An internal FTP server was left unpatched and unmonitored. This server contained sensitive "snapshots" of BSNL’s backend infrastructure.</w:t>
      </w:r>
    </w:p>
    <w:p w:rsidR="00000000" w:rsidDel="00000000" w:rsidP="00000000" w:rsidRDefault="00000000" w:rsidRPr="00000000" w14:paraId="00000004">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Exposed:</w:t>
      </w:r>
      <w:r w:rsidDel="00000000" w:rsidR="00000000" w:rsidRPr="00000000">
        <w:rPr>
          <w:rFonts w:ascii="Times New Roman" w:cs="Times New Roman" w:eastAsia="Times New Roman" w:hAnsi="Times New Roman"/>
          <w:rtl w:val="0"/>
        </w:rPr>
        <w:t xml:space="preserve"> Unlike typical leaks of names/addresses, this breach included </w:t>
      </w:r>
      <w:r w:rsidDel="00000000" w:rsidR="00000000" w:rsidRPr="00000000">
        <w:rPr>
          <w:rFonts w:ascii="Times New Roman" w:cs="Times New Roman" w:eastAsia="Times New Roman" w:hAnsi="Times New Roman"/>
          <w:b w:val="1"/>
          <w:bCs w:val="1"/>
          <w:rtl w:val="0"/>
        </w:rPr>
        <w:t xml:space="preserve">IMSI numbers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SIM card information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Home Location Register (HLR)</w:t>
      </w:r>
      <w:r w:rsidDel="00000000" w:rsidR="00000000" w:rsidRPr="00000000">
        <w:rPr>
          <w:rFonts w:ascii="Times New Roman" w:cs="Times New Roman" w:eastAsia="Times New Roman" w:hAnsi="Times New Roman"/>
          <w:rtl w:val="0"/>
        </w:rPr>
        <w:t xml:space="preserve"> details.</w:t>
      </w:r>
    </w:p>
    <w:p w:rsidR="00000000" w:rsidDel="00000000" w:rsidP="00000000" w:rsidRDefault="00000000" w:rsidRPr="00000000" w14:paraId="00000005">
      <w:pPr>
        <w:numPr>
          <w:ilvl w:val="0"/>
          <w:numId w:val="1"/>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Risk:</w:t>
      </w:r>
      <w:r w:rsidDel="00000000" w:rsidR="00000000" w:rsidRPr="00000000">
        <w:rPr>
          <w:rFonts w:ascii="Times New Roman" w:cs="Times New Roman" w:eastAsia="Times New Roman" w:hAnsi="Times New Roman"/>
          <w:rtl w:val="0"/>
        </w:rPr>
        <w:t xml:space="preserve"> Experts warned that this data could be used for </w:t>
      </w:r>
      <w:r w:rsidDel="00000000" w:rsidR="00000000" w:rsidRPr="00000000">
        <w:rPr>
          <w:rFonts w:ascii="Times New Roman" w:cs="Times New Roman" w:eastAsia="Times New Roman" w:hAnsi="Times New Roman"/>
          <w:b w:val="1"/>
          <w:bCs w:val="1"/>
          <w:rtl w:val="0"/>
        </w:rPr>
        <w:t xml:space="preserve">SIM Cloning</w:t>
      </w:r>
      <w:r w:rsidDel="00000000" w:rsidR="00000000" w:rsidRPr="00000000">
        <w:rPr>
          <w:rFonts w:ascii="Times New Roman" w:cs="Times New Roman" w:eastAsia="Times New Roman" w:hAnsi="Times New Roman"/>
          <w:rtl w:val="0"/>
        </w:rPr>
        <w:t xml:space="preserve">, allowing criminals to intercept One-Time Passwords (OTPs) and bypass two-factor authentication for bank accounts.</w:t>
      </w:r>
    </w:p>
    <w:p w:rsidR="00000000" w:rsidDel="00000000" w:rsidP="00000000" w:rsidRDefault="00000000" w:rsidRPr="00000000" w14:paraId="00000006">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Legal Sections &amp; Acts Applied</w:t>
      </w:r>
    </w:p>
    <w:p w:rsidR="00000000" w:rsidDel="00000000" w:rsidP="00000000" w:rsidRDefault="00000000" w:rsidRPr="00000000" w14:paraId="0000000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immediate aftermath, the government focused on internal accountability and national security protocols. The "culprits" in such cases generally fall into two categories: the </w:t>
      </w:r>
      <w:r w:rsidDel="00000000" w:rsidR="00000000" w:rsidRPr="00000000">
        <w:rPr>
          <w:rFonts w:ascii="Times New Roman" w:cs="Times New Roman" w:eastAsia="Times New Roman" w:hAnsi="Times New Roman"/>
          <w:b w:val="1"/>
          <w:bCs w:val="1"/>
          <w:rtl w:val="0"/>
        </w:rPr>
        <w:t xml:space="preserve">External Hacker</w:t>
      </w:r>
      <w:r w:rsidDel="00000000" w:rsidR="00000000" w:rsidRPr="00000000">
        <w:rPr>
          <w:rFonts w:ascii="Times New Roman" w:cs="Times New Roman" w:eastAsia="Times New Roman" w:hAnsi="Times New Roman"/>
          <w:rtl w:val="0"/>
        </w:rPr>
        <w:t xml:space="preserve"> and the </w:t>
      </w:r>
      <w:r w:rsidDel="00000000" w:rsidR="00000000" w:rsidRPr="00000000">
        <w:rPr>
          <w:rFonts w:ascii="Times New Roman" w:cs="Times New Roman" w:eastAsia="Times New Roman" w:hAnsi="Times New Roman"/>
          <w:b w:val="1"/>
          <w:bCs w:val="1"/>
          <w:rtl w:val="0"/>
        </w:rPr>
        <w:t xml:space="preserve">Negligent Officials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9">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Against the External Hacker (kiberphant0m)</w:t>
      </w:r>
    </w:p>
    <w:p w:rsidR="00000000" w:rsidDel="00000000" w:rsidP="00000000" w:rsidRDefault="00000000" w:rsidRPr="00000000" w14:paraId="0000000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w:t>
      </w:r>
      <w:r w:rsidDel="00000000" w:rsidR="00000000" w:rsidRPr="00000000">
        <w:rPr>
          <w:rFonts w:ascii="Times New Roman" w:cs="Times New Roman" w:eastAsia="Times New Roman" w:hAnsi="Times New Roman"/>
          <w:b w:val="1"/>
          <w:bCs w:val="1"/>
          <w:rtl w:val="0"/>
        </w:rPr>
        <w:t xml:space="preserve">Information Technology (IT) Act, 2000</w:t>
      </w:r>
      <w:r w:rsidDel="00000000" w:rsidR="00000000" w:rsidRPr="00000000">
        <w:rPr>
          <w:rFonts w:ascii="Times New Roman" w:cs="Times New Roman" w:eastAsia="Times New Roman" w:hAnsi="Times New Roman"/>
          <w:rtl w:val="0"/>
        </w:rPr>
        <w:t xml:space="preserve">, the following sections are typically invoked for such breaches:</w:t>
      </w:r>
    </w:p>
    <w:p w:rsidR="00000000" w:rsidDel="00000000" w:rsidP="00000000" w:rsidRDefault="00000000" w:rsidRPr="00000000" w14:paraId="0000000B">
      <w:pPr>
        <w:numPr>
          <w:ilvl w:val="0"/>
          <w:numId w:val="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66:</w:t>
      </w:r>
      <w:r w:rsidDel="00000000" w:rsidR="00000000" w:rsidRPr="00000000">
        <w:rPr>
          <w:rFonts w:ascii="Times New Roman" w:cs="Times New Roman" w:eastAsia="Times New Roman" w:hAnsi="Times New Roman"/>
          <w:rtl w:val="0"/>
        </w:rPr>
        <w:t xml:space="preserve"> Hacking and computer-related offenses (imprisonment up to 3 years).</w:t>
      </w:r>
    </w:p>
    <w:p w:rsidR="00000000" w:rsidDel="00000000" w:rsidP="00000000" w:rsidRDefault="00000000" w:rsidRPr="00000000" w14:paraId="0000000C">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66C:</w:t>
      </w:r>
      <w:r w:rsidDel="00000000" w:rsidR="00000000" w:rsidRPr="00000000">
        <w:rPr>
          <w:rFonts w:ascii="Times New Roman" w:cs="Times New Roman" w:eastAsia="Times New Roman" w:hAnsi="Times New Roman"/>
          <w:rtl w:val="0"/>
        </w:rPr>
        <w:t xml:space="preserve"> Punishment for identity theft (using another person's unique identification feature).</w:t>
      </w:r>
    </w:p>
    <w:p w:rsidR="00000000" w:rsidDel="00000000" w:rsidP="00000000" w:rsidRDefault="00000000" w:rsidRPr="00000000" w14:paraId="0000000D">
      <w:pPr>
        <w:numPr>
          <w:ilvl w:val="0"/>
          <w:numId w:val="2"/>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66F: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Cyber Terrorism</w:t>
      </w:r>
      <w:r w:rsidDel="00000000" w:rsidR="00000000" w:rsidRPr="00000000">
        <w:rPr>
          <w:rFonts w:ascii="Times New Roman" w:cs="Times New Roman" w:eastAsia="Times New Roman" w:hAnsi="Times New Roman"/>
          <w:rtl w:val="0"/>
        </w:rPr>
        <w:t xml:space="preserve">. Because BSNL is critical national infrastructure, a breach that threatens the unity or security of India can be classified under this section, carrying a potential </w:t>
      </w:r>
      <w:r w:rsidDel="00000000" w:rsidR="00000000" w:rsidRPr="00000000">
        <w:rPr>
          <w:rFonts w:ascii="Times New Roman" w:cs="Times New Roman" w:eastAsia="Times New Roman" w:hAnsi="Times New Roman"/>
          <w:b w:val="1"/>
          <w:bCs w:val="1"/>
          <w:rtl w:val="0"/>
        </w:rPr>
        <w:t xml:space="preserve">life imprisonment</w:t>
      </w:r>
      <w:r w:rsidDel="00000000" w:rsidR="00000000" w:rsidRPr="00000000">
        <w:rPr>
          <w:rFonts w:ascii="Times New Roman" w:cs="Times New Roman" w:eastAsia="Times New Roman" w:hAnsi="Times New Roman"/>
          <w:rtl w:val="0"/>
        </w:rPr>
        <w:t xml:space="preserve"> sentence.</w:t>
      </w:r>
    </w:p>
    <w:p w:rsidR="00000000" w:rsidDel="00000000" w:rsidP="00000000" w:rsidRDefault="00000000" w:rsidRPr="00000000" w14:paraId="0000000E">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Against Negligent Staff/Organization (BSNL)</w:t>
      </w:r>
    </w:p>
    <w:p w:rsidR="00000000" w:rsidDel="00000000" w:rsidP="00000000" w:rsidRDefault="00000000" w:rsidRPr="00000000" w14:paraId="0000000F">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government initiated an </w:t>
      </w:r>
      <w:r w:rsidDel="00000000" w:rsidR="00000000" w:rsidRPr="00000000">
        <w:rPr>
          <w:rFonts w:ascii="Times New Roman" w:cs="Times New Roman" w:eastAsia="Times New Roman" w:hAnsi="Times New Roman"/>
          <w:b w:val="1"/>
          <w:bCs w:val="1"/>
          <w:rtl w:val="0"/>
        </w:rPr>
        <w:t xml:space="preserve">Inter-Ministerial Committee (IMC)</w:t>
      </w:r>
      <w:r w:rsidDel="00000000" w:rsidR="00000000" w:rsidRPr="00000000">
        <w:rPr>
          <w:rFonts w:ascii="Times New Roman" w:cs="Times New Roman" w:eastAsia="Times New Roman" w:hAnsi="Times New Roman"/>
          <w:rtl w:val="0"/>
        </w:rPr>
        <w:t xml:space="preserve"> to conduct a forensic audit. Potential liabilities for the administrative staff and the organization include:</w:t>
      </w:r>
    </w:p>
    <w:p w:rsidR="00000000" w:rsidDel="00000000" w:rsidP="00000000" w:rsidRDefault="00000000" w:rsidRPr="00000000" w14:paraId="00000010">
      <w:pPr>
        <w:numPr>
          <w:ilvl w:val="0"/>
          <w:numId w:val="3"/>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43A (IT Act):</w:t>
      </w:r>
      <w:r w:rsidDel="00000000" w:rsidR="00000000" w:rsidRPr="00000000">
        <w:rPr>
          <w:rFonts w:ascii="Times New Roman" w:cs="Times New Roman" w:eastAsia="Times New Roman" w:hAnsi="Times New Roman"/>
          <w:rtl w:val="0"/>
        </w:rPr>
        <w:t xml:space="preserve"> This mandates that a body corporate (BSNL) must compensate affected parties if they fail to implement "reasonable security practices" to protect sensitive personal data.</w:t>
      </w:r>
    </w:p>
    <w:p w:rsidR="00000000" w:rsidDel="00000000" w:rsidP="00000000" w:rsidRDefault="00000000" w:rsidRPr="00000000" w14:paraId="00000011">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Telecommunications Act, 2023:</w:t>
      </w:r>
      <w:r w:rsidDel="00000000" w:rsidR="00000000" w:rsidRPr="00000000">
        <w:rPr>
          <w:rFonts w:ascii="Times New Roman" w:cs="Times New Roman" w:eastAsia="Times New Roman" w:hAnsi="Times New Roman"/>
          <w:rtl w:val="0"/>
        </w:rPr>
        <w:t xml:space="preserve"> Since this act was recently notified, its provisions regarding the security of telecom networks and penalties for breach of standards were heavily cited in the policy response.</w:t>
      </w:r>
    </w:p>
    <w:p w:rsidR="00000000" w:rsidDel="00000000" w:rsidP="00000000" w:rsidRDefault="00000000" w:rsidRPr="00000000" w14:paraId="00000012">
      <w:pPr>
        <w:numPr>
          <w:ilvl w:val="0"/>
          <w:numId w:val="3"/>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Official Secrets Act (OSA):</w:t>
      </w:r>
      <w:r w:rsidDel="00000000" w:rsidR="00000000" w:rsidRPr="00000000">
        <w:rPr>
          <w:rFonts w:ascii="Times New Roman" w:cs="Times New Roman" w:eastAsia="Times New Roman" w:hAnsi="Times New Roman"/>
          <w:rtl w:val="0"/>
        </w:rPr>
        <w:t xml:space="preserve"> In cases where the breach involves data related to national security or sensitive government communication lines, administrative staff can be booked under the OSA for "negligence leading to the compromise of protected information."</w:t>
      </w:r>
    </w:p>
    <w:p w:rsidR="00000000" w:rsidDel="00000000" w:rsidP="00000000" w:rsidRDefault="00000000" w:rsidRPr="00000000" w14:paraId="00000013">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Current Status &amp; Remedial Measures</w:t>
      </w:r>
    </w:p>
    <w:p w:rsidR="00000000" w:rsidDel="00000000" w:rsidP="00000000" w:rsidRDefault="00000000" w:rsidRPr="00000000" w14:paraId="0000001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the investigation, BSNL was ordered to:</w:t>
      </w:r>
    </w:p>
    <w:p w:rsidR="00000000" w:rsidDel="00000000" w:rsidP="00000000" w:rsidRDefault="00000000" w:rsidRPr="00000000" w14:paraId="00000016">
      <w:pPr>
        <w:numPr>
          <w:ilvl w:val="0"/>
          <w:numId w:val="4"/>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Enforce an "Air-Gap":</w:t>
      </w:r>
      <w:r w:rsidDel="00000000" w:rsidR="00000000" w:rsidRPr="00000000">
        <w:rPr>
          <w:rFonts w:ascii="Times New Roman" w:cs="Times New Roman" w:eastAsia="Times New Roman" w:hAnsi="Times New Roman"/>
          <w:rtl w:val="0"/>
        </w:rPr>
        <w:t xml:space="preserve"> Ensuring critical endpoints are physically isolated from the public internet.</w:t>
      </w:r>
    </w:p>
    <w:p w:rsidR="00000000" w:rsidDel="00000000" w:rsidP="00000000" w:rsidRDefault="00000000" w:rsidRPr="00000000" w14:paraId="00000017">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Mandatory Password Rotations:</w:t>
      </w:r>
      <w:r w:rsidDel="00000000" w:rsidR="00000000" w:rsidRPr="00000000">
        <w:rPr>
          <w:rFonts w:ascii="Times New Roman" w:cs="Times New Roman" w:eastAsia="Times New Roman" w:hAnsi="Times New Roman"/>
          <w:rtl w:val="0"/>
        </w:rPr>
        <w:t xml:space="preserve"> All FTP servers across circles had their credentials reset.</w:t>
      </w:r>
    </w:p>
    <w:p w:rsidR="00000000" w:rsidDel="00000000" w:rsidP="00000000" w:rsidRDefault="00000000" w:rsidRPr="00000000" w14:paraId="00000018">
      <w:pPr>
        <w:numPr>
          <w:ilvl w:val="0"/>
          <w:numId w:val="4"/>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Audit Mandate:</w:t>
      </w:r>
      <w:r w:rsidDel="00000000" w:rsidR="00000000" w:rsidRPr="00000000">
        <w:rPr>
          <w:rFonts w:ascii="Times New Roman" w:cs="Times New Roman" w:eastAsia="Times New Roman" w:hAnsi="Times New Roman"/>
          <w:rtl w:val="0"/>
        </w:rPr>
        <w:t xml:space="preserve"> The newly formed committee is now conducting quarterly audits of all state-owned telecom nodes to prevent "neglected servers" from remaining active.</w:t>
      </w:r>
    </w:p>
    <w:p w:rsidR="00000000" w:rsidDel="00000000" w:rsidP="00000000" w:rsidRDefault="00000000" w:rsidRPr="00000000" w14:paraId="00000019">
      <w:pPr>
        <w:rPr/>
      </w:pPr>
      <w:r w:rsidDel="00000000" w:rsidR="00000000" w:rsidRPr="00000000">
        <w:rPr>
          <w:rtl w:val="0"/>
        </w:rPr>
        <w:br w:type="textWrapping"/>
      </w:r>
    </w:p>
    <w:p w:rsidR="00000000" w:rsidDel="00000000" w:rsidP="00000000" w:rsidRDefault="00000000" w:rsidRPr="00000000" w14:paraId="0000001A">
      <w:pPr>
        <w:rPr/>
      </w:pPr>
      <w:r w:rsidDel="00000000" w:rsidR="00000000" w:rsidRPr="00000000">
        <w:rPr>
          <w:rtl w:val="0"/>
        </w:rPr>
        <w:t xml:space="preserve">Next case study</w:t>
        <w:br w:type="textWrapping"/>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The Star Health Data Breach (2024)</w:t>
      </w:r>
    </w:p>
    <w:p w:rsidR="00000000" w:rsidDel="00000000" w:rsidP="00000000" w:rsidRDefault="00000000" w:rsidRPr="00000000" w14:paraId="0000001D">
      <w:pPr>
        <w:numPr>
          <w:ilvl w:val="0"/>
          <w:numId w:val="5"/>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Scale:</w:t>
      </w:r>
      <w:r w:rsidDel="00000000" w:rsidR="00000000" w:rsidRPr="00000000">
        <w:rPr>
          <w:rFonts w:ascii="Times New Roman" w:cs="Times New Roman" w:eastAsia="Times New Roman" w:hAnsi="Times New Roman"/>
          <w:rtl w:val="0"/>
        </w:rPr>
        <w:t xml:space="preserve"> Over </w:t>
      </w:r>
      <w:r w:rsidDel="00000000" w:rsidR="00000000" w:rsidRPr="00000000">
        <w:rPr>
          <w:rFonts w:ascii="Times New Roman" w:cs="Times New Roman" w:eastAsia="Times New Roman" w:hAnsi="Times New Roman"/>
          <w:b w:val="1"/>
          <w:bCs w:val="1"/>
          <w:rtl w:val="0"/>
        </w:rPr>
        <w:t xml:space="preserve">31 million customers</w:t>
      </w:r>
      <w:r w:rsidDel="00000000" w:rsidR="00000000" w:rsidRPr="00000000">
        <w:rPr>
          <w:rFonts w:ascii="Times New Roman" w:cs="Times New Roman" w:eastAsia="Times New Roman" w:hAnsi="Times New Roman"/>
          <w:rtl w:val="0"/>
        </w:rPr>
        <w:t xml:space="preserve"> (7.24 TB of data).</w:t>
      </w:r>
    </w:p>
    <w:p w:rsidR="00000000" w:rsidDel="00000000" w:rsidP="00000000" w:rsidRDefault="00000000" w:rsidRPr="00000000" w14:paraId="0000001E">
      <w:pPr>
        <w:numPr>
          <w:ilvl w:val="0"/>
          <w:numId w:val="5"/>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Types:</w:t>
      </w:r>
      <w:r w:rsidDel="00000000" w:rsidR="00000000" w:rsidRPr="00000000">
        <w:rPr>
          <w:rFonts w:ascii="Times New Roman" w:cs="Times New Roman" w:eastAsia="Times New Roman" w:hAnsi="Times New Roman"/>
          <w:rtl w:val="0"/>
        </w:rPr>
        <w:t xml:space="preserve"> Aadhaar photos, PAN cards, medical history, and insurance claim details.</w:t>
      </w:r>
    </w:p>
    <w:p w:rsidR="00000000" w:rsidDel="00000000" w:rsidP="00000000" w:rsidRDefault="00000000" w:rsidRPr="00000000" w14:paraId="0000001F">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Chronology of Events</w:t>
      </w:r>
    </w:p>
    <w:tbl>
      <w:tblPr>
        <w:tblStyle w:val="Table1"/>
        <w:tblW w:w="9344.0" w:type="dxa"/>
        <w:jc w:val="left"/>
        <w:tblLayout w:type="fixed"/>
        <w:tblLook w:val="0400"/>
      </w:tblPr>
      <w:tblGrid>
        <w:gridCol w:w="1201"/>
        <w:gridCol w:w="8143"/>
        <w:tblGridChange w:id="0">
          <w:tblGrid>
            <w:gridCol w:w="1201"/>
            <w:gridCol w:w="8143"/>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1">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2">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3">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August 2024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4">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threat actor using the alias </w:t>
            </w:r>
            <w:r w:rsidDel="00000000" w:rsidR="00000000" w:rsidRPr="00000000">
              <w:rPr>
                <w:rFonts w:ascii="Times New Roman" w:cs="Times New Roman" w:eastAsia="Times New Roman" w:hAnsi="Times New Roman"/>
                <w:b w:val="1"/>
                <w:bCs w:val="1"/>
                <w:rtl w:val="0"/>
              </w:rPr>
              <w:t xml:space="preserve">"xenZen"</w:t>
            </w:r>
            <w:r w:rsidDel="00000000" w:rsidR="00000000" w:rsidRPr="00000000">
              <w:rPr>
                <w:rFonts w:ascii="Times New Roman" w:cs="Times New Roman" w:eastAsia="Times New Roman" w:hAnsi="Times New Roman"/>
                <w:rtl w:val="0"/>
              </w:rPr>
              <w:t xml:space="preserve"> infiltrates Star Health systems via an </w:t>
            </w:r>
            <w:r w:rsidDel="00000000" w:rsidR="00000000" w:rsidRPr="00000000">
              <w:rPr>
                <w:rFonts w:ascii="Times New Roman" w:cs="Times New Roman" w:eastAsia="Times New Roman" w:hAnsi="Times New Roman"/>
                <w:b w:val="1"/>
                <w:bCs w:val="1"/>
                <w:rtl w:val="0"/>
              </w:rPr>
              <w:t xml:space="preserve">API vulnerability</w:t>
            </w:r>
            <w:r w:rsidDel="00000000" w:rsidR="00000000" w:rsidRPr="00000000">
              <w:rPr>
                <w:rFonts w:ascii="Times New Roman" w:cs="Times New Roman" w:eastAsia="Times New Roman" w:hAnsi="Times New Roman"/>
                <w:rtl w:val="0"/>
              </w:rPr>
              <w:t xml:space="preserve"> (IDOR).</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5">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Sept 20, 2024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6">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breach goes public. The hacker creates </w:t>
            </w:r>
            <w:r w:rsidDel="00000000" w:rsidR="00000000" w:rsidRPr="00000000">
              <w:rPr>
                <w:rFonts w:ascii="Times New Roman" w:cs="Times New Roman" w:eastAsia="Times New Roman" w:hAnsi="Times New Roman"/>
                <w:b w:val="1"/>
                <w:bCs w:val="1"/>
                <w:rtl w:val="0"/>
              </w:rPr>
              <w:t xml:space="preserve">Telegram chatbots</w:t>
            </w:r>
            <w:r w:rsidDel="00000000" w:rsidR="00000000" w:rsidRPr="00000000">
              <w:rPr>
                <w:rFonts w:ascii="Times New Roman" w:cs="Times New Roman" w:eastAsia="Times New Roman" w:hAnsi="Times New Roman"/>
                <w:rtl w:val="0"/>
              </w:rPr>
              <w:t xml:space="preserve"> allowing anyone to pull sensitive medical data by simply typing a phone number.</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7">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Sept 24, 2024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8">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Disinformation Campaign:</w:t>
            </w:r>
            <w:r w:rsidDel="00000000" w:rsidR="00000000" w:rsidRPr="00000000">
              <w:rPr>
                <w:rFonts w:ascii="Times New Roman" w:cs="Times New Roman" w:eastAsia="Times New Roman" w:hAnsi="Times New Roman"/>
                <w:rtl w:val="0"/>
              </w:rPr>
              <w:t xml:space="preserve"> XenZen releases a "video proof" claiming the Star Health </w:t>
            </w:r>
            <w:r w:rsidDel="00000000" w:rsidR="00000000" w:rsidRPr="00000000">
              <w:rPr>
                <w:rFonts w:ascii="Times New Roman" w:cs="Times New Roman" w:eastAsia="Times New Roman" w:hAnsi="Times New Roman"/>
                <w:b w:val="1"/>
                <w:bCs w:val="1"/>
                <w:rtl w:val="0"/>
              </w:rPr>
              <w:t xml:space="preserve">CISO (Chief Information Security Officer)</w:t>
            </w:r>
            <w:r w:rsidDel="00000000" w:rsidR="00000000" w:rsidRPr="00000000">
              <w:rPr>
                <w:rFonts w:ascii="Times New Roman" w:cs="Times New Roman" w:eastAsia="Times New Roman" w:hAnsi="Times New Roman"/>
                <w:rtl w:val="0"/>
              </w:rPr>
              <w:t xml:space="preserve"> sold the data for $68,000.</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9">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Oct 10, 2024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A">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 Health files a lawsuit against </w:t>
            </w:r>
            <w:r w:rsidDel="00000000" w:rsidR="00000000" w:rsidRPr="00000000">
              <w:rPr>
                <w:rFonts w:ascii="Times New Roman" w:cs="Times New Roman" w:eastAsia="Times New Roman" w:hAnsi="Times New Roman"/>
                <w:b w:val="1"/>
                <w:bCs w:val="1"/>
                <w:rtl w:val="0"/>
              </w:rPr>
              <w:t xml:space="preserve">Telegram</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Cloudflare</w:t>
            </w:r>
            <w:r w:rsidDel="00000000" w:rsidR="00000000" w:rsidRPr="00000000">
              <w:rPr>
                <w:rFonts w:ascii="Times New Roman" w:cs="Times New Roman" w:eastAsia="Times New Roman" w:hAnsi="Times New Roman"/>
                <w:rtl w:val="0"/>
              </w:rPr>
              <w:t xml:space="preserve"> in the Madras High Court to stop the dissemination of leaked data.</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B">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Oct 25, 2024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C">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Madras High Court orders Telegram to assist in unmasking the identities behind the chatbots.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D">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January 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E">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Forensic audits by firms like </w:t>
            </w:r>
            <w:r w:rsidDel="00000000" w:rsidR="00000000" w:rsidRPr="00000000">
              <w:rPr>
                <w:rFonts w:ascii="Times New Roman" w:cs="Times New Roman" w:eastAsia="Times New Roman" w:hAnsi="Times New Roman"/>
                <w:b w:val="1"/>
                <w:bCs w:val="1"/>
                <w:rtl w:val="0"/>
              </w:rPr>
              <w:t xml:space="preserve">CloudSEK</w:t>
            </w:r>
            <w:r w:rsidDel="00000000" w:rsidR="00000000" w:rsidRPr="00000000">
              <w:rPr>
                <w:rFonts w:ascii="Times New Roman" w:cs="Times New Roman" w:eastAsia="Times New Roman" w:hAnsi="Times New Roman"/>
                <w:rtl w:val="0"/>
              </w:rPr>
              <w:t xml:space="preserve"> reveal the "insider leak" video was a </w:t>
            </w:r>
            <w:r w:rsidDel="00000000" w:rsidR="00000000" w:rsidRPr="00000000">
              <w:rPr>
                <w:rFonts w:ascii="Times New Roman" w:cs="Times New Roman" w:eastAsia="Times New Roman" w:hAnsi="Times New Roman"/>
                <w:b w:val="1"/>
                <w:bCs w:val="1"/>
                <w:rtl w:val="0"/>
              </w:rPr>
              <w:t xml:space="preserve">deepfake/fabrication</w:t>
            </w:r>
            <w:r w:rsidDel="00000000" w:rsidR="00000000" w:rsidRPr="00000000">
              <w:rPr>
                <w:rFonts w:ascii="Times New Roman" w:cs="Times New Roman" w:eastAsia="Times New Roman" w:hAnsi="Times New Roman"/>
                <w:rtl w:val="0"/>
              </w:rPr>
              <w:t xml:space="preserve"> using old leaked credentials from 2022.</w:t>
            </w:r>
          </w:p>
        </w:tc>
      </w:tr>
    </w:tbl>
    <w:p w:rsidR="00000000" w:rsidDel="00000000" w:rsidP="00000000" w:rsidRDefault="00000000" w:rsidRPr="00000000" w14:paraId="0000002F">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The Case Study: Technical Lapses</w:t>
      </w:r>
    </w:p>
    <w:p w:rsidR="00000000" w:rsidDel="00000000" w:rsidP="00000000" w:rsidRDefault="00000000" w:rsidRPr="00000000" w14:paraId="00000031">
      <w:pPr>
        <w:numPr>
          <w:ilvl w:val="0"/>
          <w:numId w:val="6"/>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IDOR (Insecure Direct Object Reference):</w:t>
      </w:r>
      <w:r w:rsidDel="00000000" w:rsidR="00000000" w:rsidRPr="00000000">
        <w:rPr>
          <w:rFonts w:ascii="Times New Roman" w:cs="Times New Roman" w:eastAsia="Times New Roman" w:hAnsi="Times New Roman"/>
          <w:rtl w:val="0"/>
        </w:rPr>
        <w:t xml:space="preserve"> The hacker exploited a flaw in the API where changing a "User ID" in a URL allowed them to see other people's records without authentication.</w:t>
      </w:r>
    </w:p>
    <w:p w:rsidR="00000000" w:rsidDel="00000000" w:rsidP="00000000" w:rsidRDefault="00000000" w:rsidRPr="00000000" w14:paraId="00000032">
      <w:pPr>
        <w:numPr>
          <w:ilvl w:val="0"/>
          <w:numId w:val="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Credential Misuse:</w:t>
      </w:r>
      <w:r w:rsidDel="00000000" w:rsidR="00000000" w:rsidRPr="00000000">
        <w:rPr>
          <w:rFonts w:ascii="Times New Roman" w:cs="Times New Roman" w:eastAsia="Times New Roman" w:hAnsi="Times New Roman"/>
          <w:rtl w:val="0"/>
        </w:rPr>
        <w:t xml:space="preserve"> The hacker used old, leaked passwords from a 2022 breach that had never been rotated by the company.</w:t>
      </w:r>
    </w:p>
    <w:p w:rsidR="00000000" w:rsidDel="00000000" w:rsidP="00000000" w:rsidRDefault="00000000" w:rsidRPr="00000000" w14:paraId="00000033">
      <w:pPr>
        <w:numPr>
          <w:ilvl w:val="0"/>
          <w:numId w:val="6"/>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"Framing" Tactic:</w:t>
      </w:r>
      <w:r w:rsidDel="00000000" w:rsidR="00000000" w:rsidRPr="00000000">
        <w:rPr>
          <w:rFonts w:ascii="Times New Roman" w:cs="Times New Roman" w:eastAsia="Times New Roman" w:hAnsi="Times New Roman"/>
          <w:rtl w:val="0"/>
        </w:rPr>
        <w:t xml:space="preserve"> This case is unique because the hacker used </w:t>
      </w:r>
      <w:r w:rsidDel="00000000" w:rsidR="00000000" w:rsidRPr="00000000">
        <w:rPr>
          <w:rFonts w:ascii="Times New Roman" w:cs="Times New Roman" w:eastAsia="Times New Roman" w:hAnsi="Times New Roman"/>
          <w:b w:val="1"/>
          <w:bCs w:val="1"/>
          <w:rtl w:val="0"/>
        </w:rPr>
        <w:t xml:space="preserve">Social Engineering</w:t>
      </w:r>
      <w:r w:rsidDel="00000000" w:rsidR="00000000" w:rsidRPr="00000000">
        <w:rPr>
          <w:rFonts w:ascii="Times New Roman" w:cs="Times New Roman" w:eastAsia="Times New Roman" w:hAnsi="Times New Roman"/>
          <w:rtl w:val="0"/>
        </w:rPr>
        <w:t xml:space="preserve"> against the public, creating a narrative of "corrupt officials" to lower the company's stock price and brand value.</w:t>
      </w:r>
    </w:p>
    <w:p w:rsidR="00000000" w:rsidDel="00000000" w:rsidP="00000000" w:rsidRDefault="00000000" w:rsidRPr="00000000" w14:paraId="00000034">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Sections &amp; Acts Applied</w:t>
      </w:r>
    </w:p>
    <w:p w:rsidR="00000000" w:rsidDel="00000000" w:rsidP="00000000" w:rsidRDefault="00000000" w:rsidRPr="00000000" w14:paraId="00000036">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Against the Hacker (xenZen)</w:t>
      </w:r>
    </w:p>
    <w:p w:rsidR="00000000" w:rsidDel="00000000" w:rsidP="00000000" w:rsidRDefault="00000000" w:rsidRPr="00000000" w14:paraId="00000037">
      <w:pPr>
        <w:numPr>
          <w:ilvl w:val="0"/>
          <w:numId w:val="7"/>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66 (IT Act):</w:t>
      </w:r>
      <w:r w:rsidDel="00000000" w:rsidR="00000000" w:rsidRPr="00000000">
        <w:rPr>
          <w:rFonts w:ascii="Times New Roman" w:cs="Times New Roman" w:eastAsia="Times New Roman" w:hAnsi="Times New Roman"/>
          <w:rtl w:val="0"/>
        </w:rPr>
        <w:t xml:space="preserve"> For hacking and unauthorized access to computer systems.</w:t>
      </w:r>
    </w:p>
    <w:p w:rsidR="00000000" w:rsidDel="00000000" w:rsidP="00000000" w:rsidRDefault="00000000" w:rsidRPr="00000000" w14:paraId="00000038">
      <w:pPr>
        <w:numPr>
          <w:ilvl w:val="0"/>
          <w:numId w:val="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66C (IT Act):</w:t>
      </w:r>
      <w:r w:rsidDel="00000000" w:rsidR="00000000" w:rsidRPr="00000000">
        <w:rPr>
          <w:rFonts w:ascii="Times New Roman" w:cs="Times New Roman" w:eastAsia="Times New Roman" w:hAnsi="Times New Roman"/>
          <w:rtl w:val="0"/>
        </w:rPr>
        <w:t xml:space="preserve"> For identity theft (impersonating the CISO via fake emails).</w:t>
      </w:r>
    </w:p>
    <w:p w:rsidR="00000000" w:rsidDel="00000000" w:rsidP="00000000" w:rsidRDefault="00000000" w:rsidRPr="00000000" w14:paraId="00000039">
      <w:pPr>
        <w:numPr>
          <w:ilvl w:val="0"/>
          <w:numId w:val="7"/>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66D (IT Act):</w:t>
      </w:r>
      <w:r w:rsidDel="00000000" w:rsidR="00000000" w:rsidRPr="00000000">
        <w:rPr>
          <w:rFonts w:ascii="Times New Roman" w:cs="Times New Roman" w:eastAsia="Times New Roman" w:hAnsi="Times New Roman"/>
          <w:rtl w:val="0"/>
        </w:rPr>
        <w:t xml:space="preserve"> Cheating by personation using a computer resource.</w:t>
      </w:r>
    </w:p>
    <w:p w:rsidR="00000000" w:rsidDel="00000000" w:rsidP="00000000" w:rsidRDefault="00000000" w:rsidRPr="00000000" w14:paraId="0000003A">
      <w:pPr>
        <w:numPr>
          <w:ilvl w:val="0"/>
          <w:numId w:val="7"/>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316 (Bhartiya Nyaya Sanhita - BNS):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Criminal Breach of Trust</w:t>
      </w:r>
      <w:r w:rsidDel="00000000" w:rsidR="00000000" w:rsidRPr="00000000">
        <w:rPr>
          <w:rFonts w:ascii="Times New Roman" w:cs="Times New Roman" w:eastAsia="Times New Roman" w:hAnsi="Times New Roman"/>
          <w:rtl w:val="0"/>
        </w:rPr>
        <w:t xml:space="preserve">. If an insider were involved (though later debunked), this section carries a penalty of up to 10 years in prison.</w:t>
      </w:r>
    </w:p>
    <w:p w:rsidR="00000000" w:rsidDel="00000000" w:rsidP="00000000" w:rsidRDefault="00000000" w:rsidRPr="00000000" w14:paraId="0000003B">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Against the Intermediaries (Telegram/Cloudflare)</w:t>
      </w:r>
    </w:p>
    <w:p w:rsidR="00000000" w:rsidDel="00000000" w:rsidP="00000000" w:rsidRDefault="00000000" w:rsidRPr="00000000" w14:paraId="0000003C">
      <w:pPr>
        <w:numPr>
          <w:ilvl w:val="0"/>
          <w:numId w:val="8"/>
        </w:numPr>
        <w:spacing w:after="28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79 (IT Act):</w:t>
      </w:r>
      <w:r w:rsidDel="00000000" w:rsidR="00000000" w:rsidRPr="00000000">
        <w:rPr>
          <w:rFonts w:ascii="Times New Roman" w:cs="Times New Roman" w:eastAsia="Times New Roman" w:hAnsi="Times New Roman"/>
          <w:rtl w:val="0"/>
        </w:rPr>
        <w:t xml:space="preserve"> While intermediaries usually have "Safe Harbor" protection, Star Health argued they lost this protection by failing to remove the chatbots promptly after being notified.</w:t>
      </w:r>
    </w:p>
    <w:p w:rsidR="00000000" w:rsidDel="00000000" w:rsidP="00000000" w:rsidRDefault="00000000" w:rsidRPr="00000000" w14:paraId="0000003D">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Against Star Health (Organizational Liability)</w:t>
      </w:r>
    </w:p>
    <w:p w:rsidR="00000000" w:rsidDel="00000000" w:rsidP="00000000" w:rsidRDefault="00000000" w:rsidRPr="00000000" w14:paraId="0000003E">
      <w:pPr>
        <w:numPr>
          <w:ilvl w:val="0"/>
          <w:numId w:val="9"/>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Section 43A (IT Act):</w:t>
      </w:r>
      <w:r w:rsidDel="00000000" w:rsidR="00000000" w:rsidRPr="00000000">
        <w:rPr>
          <w:rFonts w:ascii="Times New Roman" w:cs="Times New Roman" w:eastAsia="Times New Roman" w:hAnsi="Times New Roman"/>
          <w:rtl w:val="0"/>
        </w:rPr>
        <w:t xml:space="preserve"> Failure to protect "Sensitive Personal Data" (SPDI). This allows victims to claim unlimited compensation.</w:t>
      </w:r>
    </w:p>
    <w:p w:rsidR="00000000" w:rsidDel="00000000" w:rsidP="00000000" w:rsidRDefault="00000000" w:rsidRPr="00000000" w14:paraId="0000003F">
      <w:pPr>
        <w:numPr>
          <w:ilvl w:val="0"/>
          <w:numId w:val="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Digital Personal Data Protection Act (DPDP), 2023:</w:t>
      </w:r>
      <w:r w:rsidDel="00000000" w:rsidR="00000000" w:rsidRPr="00000000">
        <w:rPr>
          <w:rFonts w:ascii="Times New Roman" w:cs="Times New Roman" w:eastAsia="Times New Roman" w:hAnsi="Times New Roman"/>
          <w:rtl w:val="0"/>
        </w:rPr>
        <w:t xml:space="preserve"> Although fully being implemented during this time, this case was used as a benchmark for the </w:t>
      </w:r>
      <w:r w:rsidDel="00000000" w:rsidR="00000000" w:rsidRPr="00000000">
        <w:rPr>
          <w:rFonts w:ascii="Times New Roman" w:cs="Times New Roman" w:eastAsia="Times New Roman" w:hAnsi="Times New Roman"/>
          <w:b w:val="1"/>
          <w:bCs w:val="1"/>
          <w:rtl w:val="0"/>
        </w:rPr>
        <w:t xml:space="preserve">₹250 Crore penalty</w:t>
      </w:r>
      <w:r w:rsidDel="00000000" w:rsidR="00000000" w:rsidRPr="00000000">
        <w:rPr>
          <w:rFonts w:ascii="Times New Roman" w:cs="Times New Roman" w:eastAsia="Times New Roman" w:hAnsi="Times New Roman"/>
          <w:rtl w:val="0"/>
        </w:rPr>
        <w:t xml:space="preserve"> provision for "failure to take reasonable security safeguards."</w:t>
      </w:r>
    </w:p>
    <w:p w:rsidR="00000000" w:rsidDel="00000000" w:rsidP="00000000" w:rsidRDefault="00000000" w:rsidRPr="00000000" w14:paraId="00000040">
      <w:pPr>
        <w:numPr>
          <w:ilvl w:val="0"/>
          <w:numId w:val="9"/>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IRDAI Cybersecurity Guidelines:</w:t>
      </w:r>
      <w:r w:rsidDel="00000000" w:rsidR="00000000" w:rsidRPr="00000000">
        <w:rPr>
          <w:rFonts w:ascii="Times New Roman" w:cs="Times New Roman" w:eastAsia="Times New Roman" w:hAnsi="Times New Roman"/>
          <w:rtl w:val="0"/>
        </w:rPr>
        <w:t xml:space="preserve"> The insurance regulator initiated a probe into whether Star Health violated the 2023 mandate for periodic security audits.</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Case Study: HDFC Bank's Repeated Digital Failures and RBI Intervention (2019-2021)</w:t>
      </w:r>
    </w:p>
    <w:p w:rsidR="00000000" w:rsidDel="00000000" w:rsidP="00000000" w:rsidRDefault="00000000" w:rsidRPr="00000000" w14:paraId="00000044">
      <w:pPr>
        <w:rPr/>
      </w:pPr>
      <w:r w:rsidDel="00000000" w:rsidR="00000000" w:rsidRPr="00000000">
        <w:rPr>
          <w:rtl w:val="0"/>
        </w:rPr>
        <w:t xml:space="preserve">While often speculated to be cyberattacks (such as DDoS), HDFC Bank officially attributed its multiple service outages between 2019 and 2021 to internal system failures, particularly a power failure in its primary data center in November 2020. These repeated failures led to unprecedented regulatory action from the Reserve Bank of India (RBI). </w:t>
      </w:r>
    </w:p>
    <w:p w:rsidR="00000000" w:rsidDel="00000000" w:rsidP="00000000" w:rsidRDefault="00000000" w:rsidRPr="00000000" w14:paraId="00000045">
      <w:pPr>
        <w:rPr/>
      </w:pPr>
      <w:r w:rsidDel="00000000" w:rsidR="00000000" w:rsidRPr="00000000">
        <w:rPr>
          <w:rtl w:val="0"/>
        </w:rPr>
        <w:t xml:space="preserve">The central bank viewed these prolonged and recurring disruptions, which left millions of customers unable to use net banking, mobile apps, and payment utilities, as a significant risk to public confidence in digital banking. The incidents highlighted critical weaknesses in the bank's IT infrastructure and disaster recovery planning. </w:t>
      </w:r>
    </w:p>
    <w:p w:rsidR="00000000" w:rsidDel="00000000" w:rsidP="00000000" w:rsidRDefault="00000000" w:rsidRPr="00000000" w14:paraId="00000046">
      <w:pPr>
        <w:rPr/>
      </w:pPr>
      <w:r w:rsidDel="00000000" w:rsidR="00000000" w:rsidRPr="00000000">
        <w:rPr>
          <w:rtl w:val="0"/>
        </w:rPr>
        <w:t xml:space="preserve">Key Events and Timeline</w:t>
      </w:r>
    </w:p>
    <w:p w:rsidR="00000000" w:rsidDel="00000000" w:rsidP="00000000" w:rsidRDefault="00000000" w:rsidRPr="00000000" w14:paraId="00000047">
      <w:pPr>
        <w:rPr/>
      </w:pPr>
      <w:bookmarkStart w:colFirst="0" w:colLast="0" w:name="_heading=h.euhjpq9kxu8" w:id="0"/>
      <w:bookmarkEnd w:id="0"/>
      <w:r w:rsidDel="00000000" w:rsidR="00000000" w:rsidRPr="00000000">
        <w:rPr>
          <w:rtl w:val="0"/>
        </w:rPr>
        <w:t xml:space="preserve">The following table summarizes the key incidents and the resulting regulatory actions taken against HDFC Bank: </w:t>
      </w:r>
    </w:p>
    <w:tbl>
      <w:tblPr>
        <w:tblStyle w:val="Table2"/>
        <w:tblW w:w="9780.0" w:type="dxa"/>
        <w:jc w:val="left"/>
        <w:tblLayout w:type="fixed"/>
        <w:tblLook w:val="0400"/>
      </w:tblPr>
      <w:tblGrid>
        <w:gridCol w:w="934"/>
        <w:gridCol w:w="3362"/>
        <w:gridCol w:w="2517"/>
        <w:gridCol w:w="2967"/>
        <w:tblGridChange w:id="0">
          <w:tblGrid>
            <w:gridCol w:w="934"/>
            <w:gridCol w:w="3362"/>
            <w:gridCol w:w="2517"/>
            <w:gridCol w:w="2967"/>
          </w:tblGrid>
        </w:tblGridChange>
      </w:tblGrid>
      <w:tr>
        <w:trPr>
          <w:cantSplit w:val="0"/>
          <w:tblHeader w:val="0"/>
        </w:trPr>
        <w:tc>
          <w:tcPr>
            <w:tcBorders>
              <w:bottom w:color="2d2f35" w:space="0" w:sz="6" w:val="single"/>
            </w:tcBorders>
            <w:tcMar>
              <w:top w:w="120.0" w:type="dxa"/>
              <w:left w:w="0.0" w:type="dxa"/>
              <w:bottom w:w="120.0" w:type="dxa"/>
              <w:right w:w="240.0" w:type="dxa"/>
            </w:tcMar>
          </w:tcPr>
          <w:p w:rsidR="00000000" w:rsidDel="00000000" w:rsidP="00000000" w:rsidRDefault="00000000" w:rsidRPr="00000000" w14:paraId="00000048">
            <w:pPr>
              <w:rPr/>
            </w:pPr>
            <w:r w:rsidDel="00000000" w:rsidR="00000000" w:rsidRPr="00000000">
              <w:rPr>
                <w:rtl w:val="0"/>
              </w:rPr>
              <w:t xml:space="preserve">Date </w:t>
            </w:r>
          </w:p>
        </w:tc>
        <w:tc>
          <w:tcPr>
            <w:tcBorders>
              <w:bottom w:color="2d2f35" w:space="0" w:sz="6" w:val="single"/>
            </w:tcBorders>
            <w:tcMar>
              <w:top w:w="120.0" w:type="dxa"/>
              <w:left w:w="0.0" w:type="dxa"/>
              <w:bottom w:w="120.0" w:type="dxa"/>
              <w:right w:w="240.0" w:type="dxa"/>
            </w:tcMar>
          </w:tcPr>
          <w:p w:rsidR="00000000" w:rsidDel="00000000" w:rsidP="00000000" w:rsidRDefault="00000000" w:rsidRPr="00000000" w14:paraId="00000049">
            <w:pPr>
              <w:rPr/>
            </w:pPr>
            <w:r w:rsidDel="00000000" w:rsidR="00000000" w:rsidRPr="00000000">
              <w:rPr>
                <w:rtl w:val="0"/>
              </w:rPr>
              <w:t xml:space="preserve">Incident Description</w:t>
            </w:r>
          </w:p>
        </w:tc>
        <w:tc>
          <w:tcPr>
            <w:tcBorders>
              <w:bottom w:color="2d2f35" w:space="0" w:sz="6" w:val="single"/>
            </w:tcBorders>
            <w:tcMar>
              <w:top w:w="120.0" w:type="dxa"/>
              <w:left w:w="0.0" w:type="dxa"/>
              <w:bottom w:w="120.0" w:type="dxa"/>
              <w:right w:w="240.0" w:type="dxa"/>
            </w:tcMar>
          </w:tcPr>
          <w:p w:rsidR="00000000" w:rsidDel="00000000" w:rsidP="00000000" w:rsidRDefault="00000000" w:rsidRPr="00000000" w14:paraId="0000004A">
            <w:pPr>
              <w:rPr/>
            </w:pPr>
            <w:r w:rsidDel="00000000" w:rsidR="00000000" w:rsidRPr="00000000">
              <w:rPr>
                <w:rtl w:val="0"/>
              </w:rPr>
              <w:t xml:space="preserve">Official Cause</w:t>
            </w:r>
          </w:p>
        </w:tc>
        <w:tc>
          <w:tcPr>
            <w:tcBorders>
              <w:bottom w:color="2d2f35" w:space="0" w:sz="6" w:val="single"/>
            </w:tcBorders>
            <w:tcMar>
              <w:top w:w="120.0" w:type="dxa"/>
              <w:left w:w="0.0" w:type="dxa"/>
              <w:bottom w:w="120.0" w:type="dxa"/>
              <w:right w:w="0.0" w:type="dxa"/>
            </w:tcMar>
          </w:tcPr>
          <w:p w:rsidR="00000000" w:rsidDel="00000000" w:rsidP="00000000" w:rsidRDefault="00000000" w:rsidRPr="00000000" w14:paraId="0000004B">
            <w:pPr>
              <w:rPr/>
            </w:pPr>
            <w:r w:rsidDel="00000000" w:rsidR="00000000" w:rsidRPr="00000000">
              <w:rPr>
                <w:rtl w:val="0"/>
              </w:rPr>
              <w:t xml:space="preserve">RBI Action</w:t>
            </w:r>
          </w:p>
        </w:tc>
      </w:tr>
      <w:tr>
        <w:trPr>
          <w:cantSplit w:val="0"/>
          <w:tblHeader w:val="0"/>
        </w:trPr>
        <w:tc>
          <w:tcPr>
            <w:tcBorders>
              <w:bottom w:color="2d2f35" w:space="0" w:sz="6" w:val="single"/>
            </w:tcBorders>
            <w:tcMar>
              <w:top w:w="180.0" w:type="dxa"/>
              <w:left w:w="0.0" w:type="dxa"/>
              <w:bottom w:w="180.0" w:type="dxa"/>
              <w:right w:w="240.0" w:type="dxa"/>
            </w:tcMar>
          </w:tcPr>
          <w:p w:rsidR="00000000" w:rsidDel="00000000" w:rsidP="00000000" w:rsidRDefault="00000000" w:rsidRPr="00000000" w14:paraId="0000004C">
            <w:pPr>
              <w:rPr/>
            </w:pPr>
            <w:r w:rsidDel="00000000" w:rsidR="00000000" w:rsidRPr="00000000">
              <w:rPr>
                <w:rtl w:val="0"/>
              </w:rPr>
              <w:t xml:space="preserve">Dec 2019</w:t>
            </w:r>
          </w:p>
        </w:tc>
        <w:tc>
          <w:tcPr>
            <w:tcBorders>
              <w:bottom w:color="2d2f35" w:space="0" w:sz="6" w:val="single"/>
            </w:tcBorders>
            <w:tcMar>
              <w:top w:w="180.0" w:type="dxa"/>
              <w:left w:w="0.0" w:type="dxa"/>
              <w:bottom w:w="180.0" w:type="dxa"/>
              <w:right w:w="240.0" w:type="dxa"/>
            </w:tcMar>
          </w:tcPr>
          <w:p w:rsidR="00000000" w:rsidDel="00000000" w:rsidP="00000000" w:rsidRDefault="00000000" w:rsidRPr="00000000" w14:paraId="0000004D">
            <w:pPr>
              <w:rPr/>
            </w:pPr>
            <w:r w:rsidDel="00000000" w:rsidR="00000000" w:rsidRPr="00000000">
              <w:rPr>
                <w:rtl w:val="0"/>
              </w:rPr>
              <w:t xml:space="preserve">Major outage of internet banking/payment systems</w:t>
            </w:r>
          </w:p>
        </w:tc>
        <w:tc>
          <w:tcPr>
            <w:tcBorders>
              <w:bottom w:color="2d2f35" w:space="0" w:sz="6" w:val="single"/>
            </w:tcBorders>
            <w:tcMar>
              <w:top w:w="180.0" w:type="dxa"/>
              <w:left w:w="0.0" w:type="dxa"/>
              <w:bottom w:w="180.0" w:type="dxa"/>
              <w:right w:w="240.0" w:type="dxa"/>
            </w:tcMar>
          </w:tcPr>
          <w:p w:rsidR="00000000" w:rsidDel="00000000" w:rsidP="00000000" w:rsidRDefault="00000000" w:rsidRPr="00000000" w14:paraId="0000004E">
            <w:pPr>
              <w:rPr/>
            </w:pPr>
            <w:r w:rsidDel="00000000" w:rsidR="00000000" w:rsidRPr="00000000">
              <w:rPr>
                <w:rtl w:val="0"/>
              </w:rPr>
              <w:t xml:space="preserve">Technical Glitch</w:t>
            </w:r>
          </w:p>
        </w:tc>
        <w:tc>
          <w:tcPr>
            <w:tcBorders>
              <w:bottom w:color="2d2f35" w:space="0" w:sz="6" w:val="single"/>
            </w:tcBorders>
            <w:tcMar>
              <w:top w:w="180.0" w:type="dxa"/>
              <w:left w:w="0.0" w:type="dxa"/>
              <w:bottom w:w="180.0" w:type="dxa"/>
              <w:right w:w="0.0" w:type="dxa"/>
            </w:tcMar>
          </w:tcPr>
          <w:p w:rsidR="00000000" w:rsidDel="00000000" w:rsidP="00000000" w:rsidRDefault="00000000" w:rsidRPr="00000000" w14:paraId="0000004F">
            <w:pPr>
              <w:rPr/>
            </w:pPr>
            <w:r w:rsidDel="00000000" w:rsidR="00000000" w:rsidRPr="00000000">
              <w:rPr>
                <w:rtl w:val="0"/>
              </w:rPr>
              <w:t xml:space="preserve">Sought explanation from HDFC Bank management</w:t>
            </w:r>
          </w:p>
        </w:tc>
      </w:tr>
      <w:tr>
        <w:trPr>
          <w:cantSplit w:val="0"/>
          <w:tblHeader w:val="0"/>
        </w:trPr>
        <w:tc>
          <w:tcPr>
            <w:tcBorders>
              <w:bottom w:color="2d2f35" w:space="0" w:sz="6" w:val="single"/>
            </w:tcBorders>
            <w:tcMar>
              <w:top w:w="180.0" w:type="dxa"/>
              <w:left w:w="0.0" w:type="dxa"/>
              <w:bottom w:w="180.0" w:type="dxa"/>
              <w:right w:w="240.0" w:type="dxa"/>
            </w:tcMar>
          </w:tcPr>
          <w:p w:rsidR="00000000" w:rsidDel="00000000" w:rsidP="00000000" w:rsidRDefault="00000000" w:rsidRPr="00000000" w14:paraId="00000050">
            <w:pPr>
              <w:rPr/>
            </w:pPr>
            <w:r w:rsidDel="00000000" w:rsidR="00000000" w:rsidRPr="00000000">
              <w:rPr>
                <w:rtl w:val="0"/>
              </w:rPr>
              <w:t xml:space="preserve">Nov 2020</w:t>
            </w:r>
          </w:p>
        </w:tc>
        <w:tc>
          <w:tcPr>
            <w:tcBorders>
              <w:bottom w:color="2d2f35" w:space="0" w:sz="6" w:val="single"/>
            </w:tcBorders>
            <w:tcMar>
              <w:top w:w="180.0" w:type="dxa"/>
              <w:left w:w="0.0" w:type="dxa"/>
              <w:bottom w:w="180.0" w:type="dxa"/>
              <w:right w:w="240.0" w:type="dxa"/>
            </w:tcMar>
          </w:tcPr>
          <w:p w:rsidR="00000000" w:rsidDel="00000000" w:rsidP="00000000" w:rsidRDefault="00000000" w:rsidRPr="00000000" w14:paraId="00000051">
            <w:pPr>
              <w:rPr/>
            </w:pPr>
            <w:r w:rsidDel="00000000" w:rsidR="00000000" w:rsidRPr="00000000">
              <w:rPr>
                <w:rtl w:val="0"/>
              </w:rPr>
              <w:t xml:space="preserve">~12-hour widespread digital outage</w:t>
            </w:r>
          </w:p>
        </w:tc>
        <w:tc>
          <w:tcPr>
            <w:tcBorders>
              <w:bottom w:color="2d2f35" w:space="0" w:sz="6" w:val="single"/>
            </w:tcBorders>
            <w:tcMar>
              <w:top w:w="180.0" w:type="dxa"/>
              <w:left w:w="0.0" w:type="dxa"/>
              <w:bottom w:w="180.0" w:type="dxa"/>
              <w:right w:w="240.0" w:type="dxa"/>
            </w:tcMar>
          </w:tcPr>
          <w:p w:rsidR="00000000" w:rsidDel="00000000" w:rsidP="00000000" w:rsidRDefault="00000000" w:rsidRPr="00000000" w14:paraId="00000052">
            <w:pPr>
              <w:rPr/>
            </w:pPr>
            <w:r w:rsidDel="00000000" w:rsidR="00000000" w:rsidRPr="00000000">
              <w:rPr>
                <w:rtl w:val="0"/>
              </w:rPr>
              <w:t xml:space="preserve">Power failure in Primary Data Center</w:t>
            </w:r>
          </w:p>
        </w:tc>
        <w:tc>
          <w:tcPr>
            <w:tcBorders>
              <w:bottom w:color="2d2f35" w:space="0" w:sz="6" w:val="single"/>
            </w:tcBorders>
            <w:tcMar>
              <w:top w:w="180.0" w:type="dxa"/>
              <w:left w:w="0.0" w:type="dxa"/>
              <w:bottom w:w="180.0" w:type="dxa"/>
              <w:right w:w="0.0" w:type="dxa"/>
            </w:tcMar>
          </w:tcPr>
          <w:p w:rsidR="00000000" w:rsidDel="00000000" w:rsidP="00000000" w:rsidRDefault="00000000" w:rsidRPr="00000000" w14:paraId="00000053">
            <w:pPr>
              <w:rPr/>
            </w:pPr>
            <w:r w:rsidDel="00000000" w:rsidR="00000000" w:rsidRPr="00000000">
              <w:rPr>
                <w:rtl w:val="0"/>
              </w:rPr>
              <w:t xml:space="preserve">Formal Order issued Dec 2, 2020</w:t>
            </w:r>
          </w:p>
        </w:tc>
      </w:tr>
      <w:tr>
        <w:trPr>
          <w:cantSplit w:val="0"/>
          <w:tblHeader w:val="0"/>
        </w:trPr>
        <w:tc>
          <w:tcPr>
            <w:tcBorders>
              <w:bottom w:color="2d2f35" w:space="0" w:sz="6" w:val="single"/>
            </w:tcBorders>
            <w:tcMar>
              <w:top w:w="180.0" w:type="dxa"/>
              <w:left w:w="0.0" w:type="dxa"/>
              <w:bottom w:w="180.0" w:type="dxa"/>
              <w:right w:w="240.0" w:type="dxa"/>
            </w:tcMar>
          </w:tcPr>
          <w:p w:rsidR="00000000" w:rsidDel="00000000" w:rsidP="00000000" w:rsidRDefault="00000000" w:rsidRPr="00000000" w14:paraId="00000054">
            <w:pPr>
              <w:rPr/>
            </w:pPr>
            <w:r w:rsidDel="00000000" w:rsidR="00000000" w:rsidRPr="00000000">
              <w:rPr>
                <w:rtl w:val="0"/>
              </w:rPr>
              <w:t xml:space="preserve">Dec 2020</w:t>
            </w:r>
          </w:p>
        </w:tc>
        <w:tc>
          <w:tcPr>
            <w:tcBorders>
              <w:bottom w:color="2d2f35" w:space="0" w:sz="6" w:val="single"/>
            </w:tcBorders>
            <w:tcMar>
              <w:top w:w="180.0" w:type="dxa"/>
              <w:left w:w="0.0" w:type="dxa"/>
              <w:bottom w:w="180.0" w:type="dxa"/>
              <w:right w:w="240.0" w:type="dxa"/>
            </w:tcMar>
          </w:tcPr>
          <w:p w:rsidR="00000000" w:rsidDel="00000000" w:rsidP="00000000" w:rsidRDefault="00000000" w:rsidRPr="00000000" w14:paraId="00000055">
            <w:pPr>
              <w:rPr/>
            </w:pPr>
            <w:r w:rsidDel="00000000" w:rsidR="00000000" w:rsidRPr="00000000">
              <w:rPr>
                <w:rtl w:val="0"/>
              </w:rPr>
              <w:t xml:space="preserve">Restrictions imposed</w:t>
            </w:r>
          </w:p>
        </w:tc>
        <w:tc>
          <w:tcPr>
            <w:tcBorders>
              <w:bottom w:color="2d2f35" w:space="0" w:sz="6" w:val="single"/>
            </w:tcBorders>
            <w:tcMar>
              <w:top w:w="180.0" w:type="dxa"/>
              <w:left w:w="0.0" w:type="dxa"/>
              <w:bottom w:w="180.0" w:type="dxa"/>
              <w:right w:w="240.0" w:type="dxa"/>
            </w:tcMar>
          </w:tcPr>
          <w:p w:rsidR="00000000" w:rsidDel="00000000" w:rsidP="00000000" w:rsidRDefault="00000000" w:rsidRPr="00000000" w14:paraId="00000056">
            <w:pPr>
              <w:rPr/>
            </w:pPr>
            <w:r w:rsidDel="00000000" w:rsidR="00000000" w:rsidRPr="00000000">
              <w:rPr>
                <w:rtl w:val="0"/>
              </w:rPr>
              <w:t xml:space="preserve">Repeated outages over 2 years</w:t>
            </w:r>
          </w:p>
        </w:tc>
        <w:tc>
          <w:tcPr>
            <w:tcBorders>
              <w:bottom w:color="2d2f35" w:space="0" w:sz="6" w:val="single"/>
            </w:tcBorders>
            <w:tcMar>
              <w:top w:w="180.0" w:type="dxa"/>
              <w:left w:w="0.0" w:type="dxa"/>
              <w:bottom w:w="180.0" w:type="dxa"/>
              <w:right w:w="0.0" w:type="dxa"/>
            </w:tcMar>
          </w:tcPr>
          <w:p w:rsidR="00000000" w:rsidDel="00000000" w:rsidP="00000000" w:rsidRDefault="00000000" w:rsidRPr="00000000" w14:paraId="00000057">
            <w:pPr>
              <w:rPr/>
            </w:pPr>
            <w:r w:rsidDel="00000000" w:rsidR="00000000" w:rsidRPr="00000000">
              <w:rPr>
                <w:rtl w:val="0"/>
              </w:rPr>
              <w:t xml:space="preserve">Halted new credit card issuance &amp; Digital 2.0 launches</w:t>
            </w:r>
          </w:p>
        </w:tc>
      </w:tr>
      <w:tr>
        <w:trPr>
          <w:cantSplit w:val="0"/>
          <w:tblHeader w:val="0"/>
        </w:trPr>
        <w:tc>
          <w:tcPr>
            <w:tcBorders>
              <w:bottom w:color="2d2f35" w:space="0" w:sz="6" w:val="single"/>
            </w:tcBorders>
            <w:tcMar>
              <w:top w:w="180.0" w:type="dxa"/>
              <w:left w:w="0.0" w:type="dxa"/>
              <w:bottom w:w="180.0" w:type="dxa"/>
              <w:right w:w="240.0" w:type="dxa"/>
            </w:tcMar>
          </w:tcPr>
          <w:p w:rsidR="00000000" w:rsidDel="00000000" w:rsidP="00000000" w:rsidRDefault="00000000" w:rsidRPr="00000000" w14:paraId="00000058">
            <w:pPr>
              <w:rPr/>
            </w:pPr>
            <w:r w:rsidDel="00000000" w:rsidR="00000000" w:rsidRPr="00000000">
              <w:rPr>
                <w:rtl w:val="0"/>
              </w:rPr>
              <w:t xml:space="preserve">Feb 2021</w:t>
            </w:r>
          </w:p>
        </w:tc>
        <w:tc>
          <w:tcPr>
            <w:tcBorders>
              <w:bottom w:color="2d2f35" w:space="0" w:sz="6" w:val="single"/>
            </w:tcBorders>
            <w:tcMar>
              <w:top w:w="180.0" w:type="dxa"/>
              <w:left w:w="0.0" w:type="dxa"/>
              <w:bottom w:w="180.0" w:type="dxa"/>
              <w:right w:w="240.0" w:type="dxa"/>
            </w:tcMar>
          </w:tcPr>
          <w:p w:rsidR="00000000" w:rsidDel="00000000" w:rsidP="00000000" w:rsidRDefault="00000000" w:rsidRPr="00000000" w14:paraId="00000059">
            <w:pPr>
              <w:rPr/>
            </w:pPr>
            <w:r w:rsidDel="00000000" w:rsidR="00000000" w:rsidRPr="00000000">
              <w:rPr>
                <w:rtl w:val="0"/>
              </w:rPr>
              <w:t xml:space="preserve">External audit of IT infrastructure ordered</w:t>
            </w:r>
          </w:p>
        </w:tc>
        <w:tc>
          <w:tcPr>
            <w:tcBorders>
              <w:bottom w:color="2d2f35" w:space="0" w:sz="6" w:val="single"/>
            </w:tcBorders>
            <w:tcMar>
              <w:top w:w="180.0" w:type="dxa"/>
              <w:left w:w="0.0" w:type="dxa"/>
              <w:bottom w:w="180.0" w:type="dxa"/>
              <w:right w:w="240.0" w:type="dxa"/>
            </w:tcMar>
          </w:tcPr>
          <w:p w:rsidR="00000000" w:rsidDel="00000000" w:rsidP="00000000" w:rsidRDefault="00000000" w:rsidRPr="00000000" w14:paraId="0000005A">
            <w:pPr>
              <w:rPr/>
            </w:pPr>
            <w:r w:rsidDel="00000000" w:rsidR="00000000" w:rsidRPr="00000000">
              <w:rPr>
                <w:rtl w:val="0"/>
              </w:rPr>
              <w:t xml:space="preserve">Ongoing IT stability concerns</w:t>
            </w:r>
          </w:p>
        </w:tc>
        <w:tc>
          <w:tcPr>
            <w:tcBorders>
              <w:bottom w:color="2d2f35" w:space="0" w:sz="6" w:val="single"/>
            </w:tcBorders>
            <w:tcMar>
              <w:top w:w="180.0" w:type="dxa"/>
              <w:left w:w="0.0" w:type="dxa"/>
              <w:bottom w:w="180.0" w:type="dxa"/>
              <w:right w:w="0.0" w:type="dxa"/>
            </w:tcMar>
          </w:tcPr>
          <w:p w:rsidR="00000000" w:rsidDel="00000000" w:rsidP="00000000" w:rsidRDefault="00000000" w:rsidRPr="00000000" w14:paraId="0000005B">
            <w:pPr>
              <w:rPr/>
            </w:pPr>
            <w:r w:rsidDel="00000000" w:rsidR="00000000" w:rsidRPr="00000000">
              <w:rPr>
                <w:rtl w:val="0"/>
              </w:rPr>
              <w:t xml:space="preserve">Appointed external firm for special IT audit</w:t>
            </w:r>
          </w:p>
        </w:tc>
      </w:tr>
      <w:tr>
        <w:trPr>
          <w:cantSplit w:val="0"/>
          <w:tblHeader w:val="0"/>
        </w:trPr>
        <w:tc>
          <w:tcPr>
            <w:tcBorders>
              <w:bottom w:color="2d2f35" w:space="0" w:sz="6" w:val="single"/>
            </w:tcBorders>
            <w:tcMar>
              <w:top w:w="180.0" w:type="dxa"/>
              <w:left w:w="0.0" w:type="dxa"/>
              <w:bottom w:w="180.0" w:type="dxa"/>
              <w:right w:w="240.0" w:type="dxa"/>
            </w:tcMar>
          </w:tcPr>
          <w:p w:rsidR="00000000" w:rsidDel="00000000" w:rsidP="00000000" w:rsidRDefault="00000000" w:rsidRPr="00000000" w14:paraId="0000005C">
            <w:pPr>
              <w:rPr/>
            </w:pPr>
            <w:r w:rsidDel="00000000" w:rsidR="00000000" w:rsidRPr="00000000">
              <w:rPr>
                <w:rtl w:val="0"/>
              </w:rPr>
              <w:t xml:space="preserve">Aug 2021</w:t>
            </w:r>
          </w:p>
        </w:tc>
        <w:tc>
          <w:tcPr>
            <w:tcBorders>
              <w:bottom w:color="2d2f35" w:space="0" w:sz="6" w:val="single"/>
            </w:tcBorders>
            <w:tcMar>
              <w:top w:w="180.0" w:type="dxa"/>
              <w:left w:w="0.0" w:type="dxa"/>
              <w:bottom w:w="180.0" w:type="dxa"/>
              <w:right w:w="240.0" w:type="dxa"/>
            </w:tcMar>
          </w:tcPr>
          <w:p w:rsidR="00000000" w:rsidDel="00000000" w:rsidP="00000000" w:rsidRDefault="00000000" w:rsidRPr="00000000" w14:paraId="0000005D">
            <w:pPr>
              <w:rPr/>
            </w:pPr>
            <w:r w:rsidDel="00000000" w:rsidR="00000000" w:rsidRPr="00000000">
              <w:rPr>
                <w:rtl w:val="0"/>
              </w:rPr>
              <w:t xml:space="preserve">Partial lifting of ban</w:t>
            </w:r>
          </w:p>
        </w:tc>
        <w:tc>
          <w:tcPr>
            <w:tcBorders>
              <w:bottom w:color="2d2f35" w:space="0" w:sz="6" w:val="single"/>
            </w:tcBorders>
            <w:tcMar>
              <w:top w:w="180.0" w:type="dxa"/>
              <w:left w:w="0.0" w:type="dxa"/>
              <w:bottom w:w="180.0" w:type="dxa"/>
              <w:right w:w="240.0" w:type="dxa"/>
            </w:tcMar>
          </w:tcPr>
          <w:p w:rsidR="00000000" w:rsidDel="00000000" w:rsidP="00000000" w:rsidRDefault="00000000" w:rsidRPr="00000000" w14:paraId="0000005E">
            <w:pPr>
              <w:rPr/>
            </w:pPr>
            <w:r w:rsidDel="00000000" w:rsidR="00000000" w:rsidRPr="00000000">
              <w:rPr>
                <w:rtl w:val="0"/>
              </w:rPr>
              <w:t xml:space="preserve">Satisfactory compliance review</w:t>
            </w:r>
          </w:p>
        </w:tc>
        <w:tc>
          <w:tcPr>
            <w:tcBorders>
              <w:bottom w:color="2d2f35" w:space="0" w:sz="6" w:val="single"/>
            </w:tcBorders>
            <w:tcMar>
              <w:top w:w="180.0" w:type="dxa"/>
              <w:left w:w="0.0" w:type="dxa"/>
              <w:bottom w:w="180.0" w:type="dxa"/>
              <w:right w:w="0.0" w:type="dxa"/>
            </w:tcMar>
          </w:tcPr>
          <w:p w:rsidR="00000000" w:rsidDel="00000000" w:rsidP="00000000" w:rsidRDefault="00000000" w:rsidRPr="00000000" w14:paraId="0000005F">
            <w:pPr>
              <w:rPr/>
            </w:pPr>
            <w:r w:rsidDel="00000000" w:rsidR="00000000" w:rsidRPr="00000000">
              <w:rPr>
                <w:rtl w:val="0"/>
              </w:rPr>
              <w:t xml:space="preserve">Allowed to resume issuing new credit cards</w:t>
            </w:r>
          </w:p>
        </w:tc>
      </w:tr>
      <w:tr>
        <w:trPr>
          <w:cantSplit w:val="0"/>
          <w:tblHeader w:val="0"/>
        </w:trPr>
        <w:tc>
          <w:tcPr>
            <w:tcBorders>
              <w:bottom w:color="000000" w:space="0" w:sz="0" w:val="nil"/>
            </w:tcBorders>
            <w:tcMar>
              <w:top w:w="180.0" w:type="dxa"/>
              <w:left w:w="0.0" w:type="dxa"/>
              <w:bottom w:w="180.0" w:type="dxa"/>
              <w:right w:w="240.0" w:type="dxa"/>
            </w:tcMar>
          </w:tcPr>
          <w:p w:rsidR="00000000" w:rsidDel="00000000" w:rsidP="00000000" w:rsidRDefault="00000000" w:rsidRPr="00000000" w14:paraId="00000060">
            <w:pPr>
              <w:rPr/>
            </w:pPr>
            <w:r w:rsidDel="00000000" w:rsidR="00000000" w:rsidRPr="00000000">
              <w:rPr>
                <w:rtl w:val="0"/>
              </w:rPr>
              <w:t xml:space="preserve">Mar 2022</w:t>
            </w:r>
          </w:p>
        </w:tc>
        <w:tc>
          <w:tcPr>
            <w:tcBorders>
              <w:bottom w:color="000000" w:space="0" w:sz="0" w:val="nil"/>
            </w:tcBorders>
            <w:tcMar>
              <w:top w:w="180.0" w:type="dxa"/>
              <w:left w:w="0.0" w:type="dxa"/>
              <w:bottom w:w="180.0" w:type="dxa"/>
              <w:right w:w="240.0" w:type="dxa"/>
            </w:tcMar>
          </w:tcPr>
          <w:p w:rsidR="00000000" w:rsidDel="00000000" w:rsidP="00000000" w:rsidRDefault="00000000" w:rsidRPr="00000000" w14:paraId="00000061">
            <w:pPr>
              <w:rPr/>
            </w:pPr>
            <w:r w:rsidDel="00000000" w:rsidR="00000000" w:rsidRPr="00000000">
              <w:rPr>
                <w:rtl w:val="0"/>
              </w:rPr>
              <w:t xml:space="preserve">All restrictions lifted</w:t>
            </w:r>
          </w:p>
        </w:tc>
        <w:tc>
          <w:tcPr>
            <w:tcBorders>
              <w:bottom w:color="000000" w:space="0" w:sz="0" w:val="nil"/>
            </w:tcBorders>
            <w:tcMar>
              <w:top w:w="180.0" w:type="dxa"/>
              <w:left w:w="0.0" w:type="dxa"/>
              <w:bottom w:w="180.0" w:type="dxa"/>
              <w:right w:w="240.0" w:type="dxa"/>
            </w:tcMar>
          </w:tcPr>
          <w:p w:rsidR="00000000" w:rsidDel="00000000" w:rsidP="00000000" w:rsidRDefault="00000000" w:rsidRPr="00000000" w14:paraId="00000062">
            <w:pPr>
              <w:rPr/>
            </w:pPr>
            <w:r w:rsidDel="00000000" w:rsidR="00000000" w:rsidRPr="00000000">
              <w:rPr>
                <w:rtl w:val="0"/>
              </w:rPr>
              <w:t xml:space="preserve">Full compliance with RBI observations</w:t>
            </w:r>
          </w:p>
        </w:tc>
        <w:tc>
          <w:tcPr>
            <w:tcBorders>
              <w:bottom w:color="000000" w:space="0" w:sz="0" w:val="nil"/>
            </w:tcBorders>
            <w:tcMar>
              <w:top w:w="180.0" w:type="dxa"/>
              <w:left w:w="0.0" w:type="dxa"/>
              <w:bottom w:w="180.0" w:type="dxa"/>
              <w:right w:w="0.0" w:type="dxa"/>
            </w:tcMar>
          </w:tcPr>
          <w:p w:rsidR="00000000" w:rsidDel="00000000" w:rsidP="00000000" w:rsidRDefault="00000000" w:rsidRPr="00000000" w14:paraId="00000063">
            <w:pPr>
              <w:rPr/>
            </w:pPr>
            <w:r w:rsidDel="00000000" w:rsidR="00000000" w:rsidRPr="00000000">
              <w:rPr>
                <w:rtl w:val="0"/>
              </w:rPr>
              <w:t xml:space="preserve">Full return to digital initiatives</w:t>
            </w:r>
          </w:p>
        </w:tc>
      </w:tr>
    </w:tbl>
    <w:p w:rsidR="00000000" w:rsidDel="00000000" w:rsidP="00000000" w:rsidRDefault="00000000" w:rsidRPr="00000000" w14:paraId="00000064">
      <w:pPr>
        <w:rPr/>
      </w:pPr>
      <w:r w:rsidDel="00000000" w:rsidR="00000000" w:rsidRPr="00000000">
        <w:rPr>
          <w:rtl w:val="0"/>
        </w:rPr>
        <w:t xml:space="preserve">Key Insights</w:t>
      </w:r>
    </w:p>
    <w:p w:rsidR="00000000" w:rsidDel="00000000" w:rsidP="00000000" w:rsidRDefault="00000000" w:rsidRPr="00000000" w14:paraId="00000065">
      <w:pPr>
        <w:rPr/>
      </w:pPr>
      <w:r w:rsidDel="00000000" w:rsidR="00000000" w:rsidRPr="00000000">
        <w:rPr>
          <w:rtl w:val="0"/>
        </w:rPr>
        <w:t xml:space="preserve">Operational Risk vs. Cyberattack: This case highlights how major operational failures, even without external malicious intent, can have similar disruptive impacts as cyberattacks and warrant serious regulatory response.</w:t>
      </w:r>
    </w:p>
    <w:p w:rsidR="00000000" w:rsidDel="00000000" w:rsidP="00000000" w:rsidRDefault="00000000" w:rsidRPr="00000000" w14:paraId="00000066">
      <w:pPr>
        <w:rPr/>
      </w:pPr>
      <w:r w:rsidDel="00000000" w:rsidR="00000000" w:rsidRPr="00000000">
        <w:rPr>
          <w:rtl w:val="0"/>
        </w:rPr>
        <w:t xml:space="preserve">Regulatory Scrutiny: The RBI's actions underscore the critical importance of robust IT systems and disaster recovery plans for systemically important banks. The regulator made it clear that public confidence in digital banking must be maintained.</w:t>
      </w:r>
    </w:p>
    <w:p w:rsidR="00000000" w:rsidDel="00000000" w:rsidP="00000000" w:rsidRDefault="00000000" w:rsidRPr="00000000" w14:paraId="00000067">
      <w:pPr>
        <w:rPr/>
      </w:pPr>
      <w:r w:rsidDel="00000000" w:rsidR="00000000" w:rsidRPr="00000000">
        <w:rPr>
          <w:rtl w:val="0"/>
        </w:rPr>
        <w:t xml:space="preserve">Business Impact: The ban significantly impacted HDFC Bank's market position in the highly competitive credit card segment, allowing rivals like ICICI Bank to gain market share.</w:t>
      </w:r>
    </w:p>
    <w:p w:rsidR="00000000" w:rsidDel="00000000" w:rsidP="00000000" w:rsidRDefault="00000000" w:rsidRPr="00000000" w14:paraId="00000068">
      <w:pPr>
        <w:rPr/>
      </w:pPr>
      <w:r w:rsidDel="00000000" w:rsidR="00000000" w:rsidRPr="00000000">
        <w:rPr>
          <w:rtl w:val="0"/>
        </w:rPr>
        <w:t xml:space="preserve">Accountability: The RBI order explicitly directed the bank's board to examine the lapses and fix accountability, highlighting the corporate governance dimension of technology failures. </w:t>
      </w:r>
    </w:p>
    <w:p w:rsidR="00000000" w:rsidDel="00000000" w:rsidP="00000000" w:rsidRDefault="00000000" w:rsidRPr="00000000" w14:paraId="00000069">
      <w:pPr>
        <w:rPr/>
      </w:pPr>
      <w:r w:rsidDel="00000000" w:rsidR="00000000" w:rsidRPr="00000000">
        <w:rPr>
          <w:rtl w:val="0"/>
        </w:rPr>
        <w:t xml:space="preserve">TH 2250</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5879DC"/>
    <w:rPr>
      <w:rFonts w:ascii="Times New Roman" w:cs="Times New Roman" w:eastAsia="Times New Roman" w:hAnsi="Times New Roman"/>
      <w:b w:val="1"/>
      <w:bCs w:val="1"/>
      <w:kern w:val="0"/>
      <w:sz w:val="27"/>
      <w:szCs w:val="27"/>
    </w:rPr>
  </w:style>
  <w:style w:type="character" w:styleId="Heading4Char" w:customStyle="1">
    <w:name w:val="Heading 4 Char"/>
    <w:basedOn w:val="DefaultParagraphFont"/>
    <w:link w:val="Heading4"/>
    <w:uiPriority w:val="9"/>
    <w:rsid w:val="005879DC"/>
    <w:rPr>
      <w:rFonts w:ascii="Times New Roman" w:cs="Times New Roman" w:eastAsia="Times New Roman" w:hAnsi="Times New Roman"/>
      <w:b w:val="1"/>
      <w:bCs w:val="1"/>
      <w:kern w:val="0"/>
    </w:rPr>
  </w:style>
  <w:style w:type="paragraph" w:styleId="NormalWeb">
    <w:name w:val="Normal (Web)"/>
    <w:basedOn w:val="Normal"/>
    <w:uiPriority w:val="99"/>
    <w:semiHidden w:val="1"/>
    <w:unhideWhenUsed w:val="1"/>
    <w:rsid w:val="005879DC"/>
    <w:pPr>
      <w:spacing w:after="100" w:afterAutospacing="1" w:before="100" w:beforeAutospacing="1" w:line="240" w:lineRule="auto"/>
    </w:pPr>
    <w:rPr>
      <w:rFonts w:ascii="Times New Roman" w:cs="Times New Roman" w:eastAsia="Times New Roman" w:hAnsi="Times New Roman"/>
      <w:kern w:val="0"/>
    </w:rPr>
  </w:style>
  <w:style w:type="character" w:styleId="citation-19" w:customStyle="1">
    <w:name w:val="citation-19"/>
    <w:basedOn w:val="DefaultParagraphFont"/>
    <w:rsid w:val="005879DC"/>
  </w:style>
  <w:style w:type="character" w:styleId="citation-18" w:customStyle="1">
    <w:name w:val="citation-18"/>
    <w:basedOn w:val="DefaultParagraphFont"/>
    <w:rsid w:val="005879DC"/>
  </w:style>
  <w:style w:type="character" w:styleId="citation-17" w:customStyle="1">
    <w:name w:val="citation-17"/>
    <w:basedOn w:val="DefaultParagraphFont"/>
    <w:rsid w:val="005879DC"/>
  </w:style>
  <w:style w:type="character" w:styleId="citation-16" w:customStyle="1">
    <w:name w:val="citation-16"/>
    <w:basedOn w:val="DefaultParagraphFont"/>
    <w:rsid w:val="005879DC"/>
  </w:style>
  <w:style w:type="character" w:styleId="citation-15" w:customStyle="1">
    <w:name w:val="citation-15"/>
    <w:basedOn w:val="DefaultParagraphFont"/>
    <w:rsid w:val="005879DC"/>
  </w:style>
  <w:style w:type="character" w:styleId="citation-14" w:customStyle="1">
    <w:name w:val="citation-14"/>
    <w:basedOn w:val="DefaultParagraphFont"/>
    <w:rsid w:val="005879DC"/>
  </w:style>
  <w:style w:type="character" w:styleId="citation-13" w:customStyle="1">
    <w:name w:val="citation-13"/>
    <w:basedOn w:val="DefaultParagraphFont"/>
    <w:rsid w:val="005879DC"/>
  </w:style>
  <w:style w:type="character" w:styleId="citation-12" w:customStyle="1">
    <w:name w:val="citation-12"/>
    <w:basedOn w:val="DefaultParagraphFont"/>
    <w:rsid w:val="005879DC"/>
  </w:style>
  <w:style w:type="character" w:styleId="citation-11" w:customStyle="1">
    <w:name w:val="citation-11"/>
    <w:basedOn w:val="DefaultParagraphFont"/>
    <w:rsid w:val="005879DC"/>
  </w:style>
  <w:style w:type="character" w:styleId="citation-52" w:customStyle="1">
    <w:name w:val="citation-52"/>
    <w:basedOn w:val="DefaultParagraphFont"/>
    <w:rsid w:val="00D82138"/>
  </w:style>
  <w:style w:type="character" w:styleId="citation-51" w:customStyle="1">
    <w:name w:val="citation-51"/>
    <w:basedOn w:val="DefaultParagraphFont"/>
    <w:rsid w:val="00D82138"/>
  </w:style>
  <w:style w:type="character" w:styleId="Strong">
    <w:name w:val="Strong"/>
    <w:basedOn w:val="DefaultParagraphFont"/>
    <w:uiPriority w:val="22"/>
    <w:qFormat w:val="1"/>
    <w:rsid w:val="00D82138"/>
    <w:rPr>
      <w:b w:val="1"/>
      <w:bCs w:val="1"/>
    </w:rPr>
  </w:style>
  <w:style w:type="character" w:styleId="citation-50" w:customStyle="1">
    <w:name w:val="citation-50"/>
    <w:basedOn w:val="DefaultParagraphFont"/>
    <w:rsid w:val="00D82138"/>
  </w:style>
  <w:style w:type="character" w:styleId="citation-49" w:customStyle="1">
    <w:name w:val="citation-49"/>
    <w:basedOn w:val="DefaultParagraphFont"/>
    <w:rsid w:val="00D82138"/>
  </w:style>
  <w:style w:type="character" w:styleId="citation-48" w:customStyle="1">
    <w:name w:val="citation-48"/>
    <w:basedOn w:val="DefaultParagraphFont"/>
    <w:rsid w:val="00D82138"/>
  </w:style>
  <w:style w:type="character" w:styleId="citation-47" w:customStyle="1">
    <w:name w:val="citation-47"/>
    <w:basedOn w:val="DefaultParagraphFont"/>
    <w:rsid w:val="00D82138"/>
  </w:style>
  <w:style w:type="character" w:styleId="citation-46" w:customStyle="1">
    <w:name w:val="citation-46"/>
    <w:basedOn w:val="DefaultParagraphFont"/>
    <w:rsid w:val="00D82138"/>
  </w:style>
  <w:style w:type="character" w:styleId="pending" w:customStyle="1">
    <w:name w:val="pending"/>
    <w:basedOn w:val="DefaultParagraphFont"/>
    <w:rsid w:val="00D82138"/>
  </w:style>
  <w:style w:type="character" w:styleId="citation-45" w:customStyle="1">
    <w:name w:val="citation-45"/>
    <w:basedOn w:val="DefaultParagraphFont"/>
    <w:rsid w:val="00D82138"/>
  </w:style>
  <w:style w:type="character" w:styleId="vkekvd" w:customStyle="1">
    <w:name w:val="vkekvd"/>
    <w:basedOn w:val="DefaultParagraphFont"/>
    <w:rsid w:val="00935A75"/>
  </w:style>
  <w:style w:type="character" w:styleId="t286pc" w:customStyle="1">
    <w:name w:val="t286pc"/>
    <w:basedOn w:val="DefaultParagraphFont"/>
    <w:rsid w:val="00935A7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RFNzr6KWFXWRB5r41R8gpDqKpA==">CgMxLjAyDWguZXVoanBxOWt4dTg4AHIhMWphM1k1V3NnTEctY0NSMDlrWDRkR0ZFbzNseTJWWGZ1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2026-01-14T05:38:00Z</dcterms:created>
  <dc:creator>Administrator</dc:creator>
</cp:coreProperties>
</file>