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1AD7" w14:textId="77777777" w:rsidR="003F681A" w:rsidRDefault="003F681A" w:rsidP="003F681A">
      <w:r>
        <w:t>Project Report: Enterprise Ransomware Risk Assessment</w:t>
      </w:r>
    </w:p>
    <w:p w14:paraId="34A3988D" w14:textId="77777777" w:rsidR="003F681A" w:rsidRDefault="003F681A" w:rsidP="003F681A"/>
    <w:p w14:paraId="03202906" w14:textId="77777777" w:rsidR="003F681A" w:rsidRDefault="003F681A" w:rsidP="003F681A">
      <w:r>
        <w:t>Student Name: Yadhu</w:t>
      </w:r>
    </w:p>
    <w:p w14:paraId="03D28FD1" w14:textId="77777777" w:rsidR="003F681A" w:rsidRDefault="003F681A" w:rsidP="003F681A">
      <w:r>
        <w:t xml:space="preserve">Course: IBM </w:t>
      </w:r>
      <w:proofErr w:type="spellStart"/>
      <w:r>
        <w:t>SkillsBuild</w:t>
      </w:r>
      <w:proofErr w:type="spellEnd"/>
      <w:r>
        <w:t xml:space="preserve"> / </w:t>
      </w:r>
      <w:proofErr w:type="spellStart"/>
      <w:r>
        <w:t>BharatCares</w:t>
      </w:r>
      <w:proofErr w:type="spellEnd"/>
      <w:r>
        <w:t xml:space="preserve"> Cybersecurity Bootcamp (2026)</w:t>
      </w:r>
    </w:p>
    <w:p w14:paraId="3FE40717" w14:textId="77777777" w:rsidR="003F681A" w:rsidRDefault="003F681A" w:rsidP="003F681A">
      <w:r>
        <w:t>Project Topic: Enterprise Ransomware Assessment (Mapped to NIST CSF Framework)</w:t>
      </w:r>
    </w:p>
    <w:p w14:paraId="29F0D6BD" w14:textId="77777777" w:rsidR="003F681A" w:rsidRDefault="003F681A" w:rsidP="003F681A"/>
    <w:p w14:paraId="176ACF9A" w14:textId="77777777" w:rsidR="003F681A" w:rsidRDefault="003F681A" w:rsidP="003F681A">
      <w:r>
        <w:t>1. Executive Summary</w:t>
      </w:r>
    </w:p>
    <w:p w14:paraId="77AB1099" w14:textId="77777777" w:rsidR="003F681A" w:rsidRDefault="003F681A" w:rsidP="003F681A">
      <w:r>
        <w:t>This project evaluates the organization's enterprise risk profile against potential ransomware attacks. Using the NIST Cybersecurity Framework (CSF) core functions—Identify, Protect, Detect, Respond, and Recover—this assessment establishes a structured Risk Register, identifies key operational vulnerabilities, and provides prioritized remediation controls.</w:t>
      </w:r>
    </w:p>
    <w:p w14:paraId="78A8AC9F" w14:textId="77777777" w:rsidR="003F681A" w:rsidRDefault="003F681A" w:rsidP="003F681A"/>
    <w:p w14:paraId="79F35774" w14:textId="77777777" w:rsidR="003F681A" w:rsidRDefault="003F681A" w:rsidP="003F681A">
      <w:r>
        <w:t>2. Methodology &amp; Framework</w:t>
      </w:r>
    </w:p>
    <w:p w14:paraId="076EFB8C" w14:textId="77777777" w:rsidR="003F681A" w:rsidRDefault="003F681A" w:rsidP="003F681A">
      <w:r>
        <w:t>The risk assessment methodology follows the standard risk calculation model: Risk = Likelihood x Impact.</w:t>
      </w:r>
    </w:p>
    <w:p w14:paraId="47B4EDD2" w14:textId="77777777" w:rsidR="003F681A" w:rsidRDefault="003F681A" w:rsidP="003F681A">
      <w:r>
        <w:t>- Likelihood Scale: Low (1), Medium (2), High (3)</w:t>
      </w:r>
    </w:p>
    <w:p w14:paraId="03146177" w14:textId="77777777" w:rsidR="003F681A" w:rsidRDefault="003F681A" w:rsidP="003F681A">
      <w:r>
        <w:t>- Impact Scale: Low (1), Medium (2), High (3)</w:t>
      </w:r>
    </w:p>
    <w:p w14:paraId="3FEBD358" w14:textId="77777777" w:rsidR="003F681A" w:rsidRDefault="003F681A" w:rsidP="003F681A">
      <w:r>
        <w:t>- Risk Rating: Low (1-2), Medium (3-4), High (6-9)</w:t>
      </w:r>
    </w:p>
    <w:p w14:paraId="5517AAE4" w14:textId="77777777" w:rsidR="003F681A" w:rsidRDefault="003F681A" w:rsidP="003F681A"/>
    <w:p w14:paraId="0803C818" w14:textId="77777777" w:rsidR="003F681A" w:rsidRDefault="003F681A" w:rsidP="003F681A">
      <w:r>
        <w:t>3. Corporate Ransomware Risk Register</w:t>
      </w:r>
    </w:p>
    <w:p w14:paraId="141FFD57" w14:textId="77777777" w:rsidR="003F681A" w:rsidRDefault="003F681A" w:rsidP="003F681A">
      <w:r>
        <w:t>- RR-01 | PR.AC (Access Control) | Initial compromise via phishing email leading to credential theft. | Likelihood: High (3) | Impact: High (3) | Overall Risk: High (9) | Mitigation: Enforce Multi-Factor Authentication (MFA) and phishing training.</w:t>
      </w:r>
    </w:p>
    <w:p w14:paraId="2A46A40F" w14:textId="77777777" w:rsidR="003F681A" w:rsidRDefault="003F681A" w:rsidP="003F681A">
      <w:r>
        <w:t>- RR-02 | PR.DS (Data Security) | Unencrypted backups targeted or deleted during ransomware execution. | Likelihood: High (3) | Impact: High (3) | Overall Risk: High (9) | Mitigation: Enforce immutable, air-gapped 3-2-1 backup policies.</w:t>
      </w:r>
    </w:p>
    <w:p w14:paraId="7310A8CA" w14:textId="77777777" w:rsidR="003F681A" w:rsidRDefault="003F681A" w:rsidP="003F681A">
      <w:r>
        <w:t>- RR-03 | DE.CM (Continuous Monitoring) | Lateral movement undetected due to lack of endpoint detection logs. | Likelihood: Medium (2) | Impact: High (3) | Overall Risk: High (6) | Mitigation: Deploy EDR agents with centralized SIEM monitoring.</w:t>
      </w:r>
    </w:p>
    <w:p w14:paraId="61284950" w14:textId="77777777" w:rsidR="003F681A" w:rsidRDefault="003F681A" w:rsidP="003F681A">
      <w:r>
        <w:t>- RR-04 | RS.RP (Response Planning) | Delayed incident isolation resulting in network-wide ransomware spread. | Likelihood: Medium (2) | Impact: Medium (2) | Overall Risk: Medium (4) | Mitigation: Develop automated endpoint isolation playbooks.</w:t>
      </w:r>
    </w:p>
    <w:p w14:paraId="61916CAF" w14:textId="77777777" w:rsidR="003F681A" w:rsidRDefault="003F681A" w:rsidP="003F681A">
      <w:r>
        <w:lastRenderedPageBreak/>
        <w:t>- RR-05 | RC.RP (Recovery Planning) | Extended downtime due to untested disaster recovery procedures. | Likelihood: Medium (2) | Impact: High (3) | Overall Risk: High (6) | Mitigation: Conduct quarterly table-top exercises and backup tests.</w:t>
      </w:r>
    </w:p>
    <w:p w14:paraId="2303619F" w14:textId="77777777" w:rsidR="003F681A" w:rsidRDefault="003F681A" w:rsidP="003F681A"/>
    <w:p w14:paraId="53C4E7C1" w14:textId="77777777" w:rsidR="003F681A" w:rsidRDefault="003F681A" w:rsidP="003F681A">
      <w:r>
        <w:t>4. Key Recommendations</w:t>
      </w:r>
    </w:p>
    <w:p w14:paraId="43FBAC88" w14:textId="77777777" w:rsidR="003F681A" w:rsidRDefault="003F681A" w:rsidP="003F681A">
      <w:r>
        <w:t>1. Immediate (0-30 Days): Mandate Multi-Factor Authentication (MFA) across all remote access and cloud apps.</w:t>
      </w:r>
    </w:p>
    <w:p w14:paraId="2916B9F2" w14:textId="77777777" w:rsidR="003F681A" w:rsidRDefault="003F681A" w:rsidP="003F681A">
      <w:r>
        <w:t>2. Short-Term (30-60 Days): Isolate critical backups using write-once-read-many (WORM) storage.</w:t>
      </w:r>
    </w:p>
    <w:p w14:paraId="3E5E55BD" w14:textId="67E838E7" w:rsidR="004E0BC7" w:rsidRDefault="003F681A" w:rsidP="003F681A">
      <w:r>
        <w:t>3. Medium-Term (60-90 Days): Implement network segmentation between user stations and core servers.</w:t>
      </w:r>
    </w:p>
    <w:sectPr w:rsidR="004E0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1A"/>
    <w:rsid w:val="000E31FB"/>
    <w:rsid w:val="003F681A"/>
    <w:rsid w:val="004C0143"/>
    <w:rsid w:val="004E0BC7"/>
    <w:rsid w:val="004E5693"/>
    <w:rsid w:val="00C77554"/>
    <w:rsid w:val="00FE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FADC"/>
  <w15:chartTrackingRefBased/>
  <w15:docId w15:val="{B34785F2-1B95-4C8E-AF1F-321EC102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Yadhu Krishnan</dc:creator>
  <cp:keywords/>
  <dc:description/>
  <cp:lastModifiedBy>Yadhu Krishnan</cp:lastModifiedBy>
  <cp:revision>1</cp:revision>
  <cp:lastPrinted>2026-10-19T14:39:00Z</cp:lastPrinted>
  <dcterms:created xsi:type="dcterms:W3CDTF">2026-10-19T14:38:00Z</dcterms:created>
  <dcterms:modified xsi:type="dcterms:W3CDTF">2026-10-19T15:19:00Z</dcterms:modified>
</cp:coreProperties>
</file>