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46B75"/>
          <w:sz w:val="22"/>
        </w:rPr>
        <w:t>LEMBAR KERJA 1</w:t>
      </w:r>
    </w:p>
    <w:p>
      <w:pPr>
        <w:pStyle w:val="Title"/>
        <w:jc w:val="center"/>
      </w:pPr>
      <w:r>
        <w:t>IDENTIFIKASI DIRI</w:t>
      </w:r>
    </w:p>
    <w:p>
      <w:pPr>
        <w:jc w:val="center"/>
      </w:pPr>
      <w:r>
        <w:rPr>
          <w:i/>
          <w:color w:val="5A6978"/>
          <w:sz w:val="20"/>
        </w:rPr>
        <w:t>Visi Pendidikan, Visi sebagai Calon Guru, dan Langkah Pencapaian</w:t>
      </w:r>
    </w:p>
    <w:tbl>
      <w:tblPr>
        <w:tblW w:type="auto" w:w="0"/>
        <w:jc w:val="center"/>
        <w:tblLayout w:type="fixed"/>
        <w:tblLook w:firstColumn="1" w:firstRow="1" w:lastColumn="0" w:lastRow="0" w:noHBand="0" w:noVBand="1" w:val="04A0"/>
      </w:tblPr>
      <w:tblGrid>
        <w:gridCol w:w="2088"/>
        <w:gridCol w:w="7992"/>
      </w:tblGrid>
      <w:tr>
        <w:tc>
          <w:tcPr>
            <w:tcW w:type="dxa" w:w="2088"/>
            <w:shd w:fill="E7F0F2"/>
            <w:vAlign w:val="center"/>
            <w:tcMar>
              <w:top w:w="90" w:type="dxa"/>
              <w:start w:w="100" w:type="dxa"/>
              <w:bottom w:w="90" w:type="dxa"/>
              <w:end w:w="100" w:type="dxa"/>
            </w:tcMar>
          </w:tcPr>
          <w:p>
            <w:pPr>
              <w:spacing w:after="0"/>
            </w:pPr>
            <w:r>
              <w:rPr>
                <w:b/>
                <w:sz w:val="19"/>
              </w:rPr>
              <w:t>Nama</w:t>
            </w:r>
          </w:p>
        </w:tc>
        <w:tc>
          <w:tcPr>
            <w:tcW w:type="dxa" w:w="7992"/>
            <w:vAlign w:val="center"/>
            <w:tcMar>
              <w:top w:w="90" w:type="dxa"/>
              <w:start w:w="100" w:type="dxa"/>
              <w:bottom w:w="90" w:type="dxa"/>
              <w:end w:w="100" w:type="dxa"/>
            </w:tcMar>
          </w:tcPr>
          <w:p>
            <w:pPr>
              <w:spacing w:after="0"/>
            </w:pPr>
            <w:r>
              <w:rPr>
                <w:sz w:val="19"/>
              </w:rPr>
              <w:t>Yadi Hapriadi</w:t>
            </w:r>
          </w:p>
        </w:tc>
      </w:tr>
      <w:tr>
        <w:tc>
          <w:tcPr>
            <w:tcW w:type="dxa" w:w="2088"/>
            <w:shd w:fill="E7F0F2"/>
            <w:vAlign w:val="center"/>
            <w:tcMar>
              <w:top w:w="90" w:type="dxa"/>
              <w:start w:w="100" w:type="dxa"/>
              <w:bottom w:w="90" w:type="dxa"/>
              <w:end w:w="100" w:type="dxa"/>
            </w:tcMar>
          </w:tcPr>
          <w:p>
            <w:pPr>
              <w:spacing w:after="0"/>
            </w:pPr>
            <w:r>
              <w:rPr>
                <w:b/>
                <w:sz w:val="19"/>
              </w:rPr>
              <w:t>NIM</w:t>
            </w:r>
          </w:p>
        </w:tc>
        <w:tc>
          <w:tcPr>
            <w:tcW w:type="dxa" w:w="7992"/>
            <w:vAlign w:val="center"/>
            <w:tcMar>
              <w:top w:w="90" w:type="dxa"/>
              <w:start w:w="100" w:type="dxa"/>
              <w:bottom w:w="90" w:type="dxa"/>
              <w:end w:w="100" w:type="dxa"/>
            </w:tcMar>
          </w:tcPr>
          <w:p>
            <w:pPr>
              <w:spacing w:after="0"/>
            </w:pPr>
            <w:r>
              <w:rPr>
                <w:sz w:val="19"/>
              </w:rPr>
              <w:t>2531094</w:t>
            </w:r>
          </w:p>
        </w:tc>
      </w:tr>
      <w:tr>
        <w:tc>
          <w:tcPr>
            <w:tcW w:type="dxa" w:w="2088"/>
            <w:shd w:fill="E7F0F2"/>
            <w:vAlign w:val="center"/>
            <w:tcMar>
              <w:top w:w="90" w:type="dxa"/>
              <w:start w:w="100" w:type="dxa"/>
              <w:bottom w:w="90" w:type="dxa"/>
              <w:end w:w="100" w:type="dxa"/>
            </w:tcMar>
          </w:tcPr>
          <w:p>
            <w:pPr>
              <w:spacing w:after="0"/>
            </w:pPr>
            <w:r>
              <w:rPr>
                <w:b/>
                <w:sz w:val="19"/>
              </w:rPr>
              <w:t>Program Studi / Perguruan Tinggi</w:t>
            </w:r>
          </w:p>
        </w:tc>
        <w:tc>
          <w:tcPr>
            <w:tcW w:type="dxa" w:w="7992"/>
            <w:vAlign w:val="center"/>
            <w:tcMar>
              <w:top w:w="90" w:type="dxa"/>
              <w:start w:w="100" w:type="dxa"/>
              <w:bottom w:w="90" w:type="dxa"/>
              <w:end w:w="100" w:type="dxa"/>
            </w:tcMar>
          </w:tcPr>
          <w:p>
            <w:pPr>
              <w:spacing w:after="0"/>
            </w:pPr>
            <w:r>
              <w:rPr>
                <w:sz w:val="19"/>
              </w:rPr>
              <w:t>PPG Informatika / Universitas Pendidikan Indonesia</w:t>
            </w:r>
          </w:p>
        </w:tc>
      </w:tr>
    </w:tbl>
    <w:p>
      <w:pPr>
        <w:pStyle w:val="Heading1"/>
      </w:pPr>
      <w:r>
        <w:t>A. Visi Pribadi untuk Pendidikan di Indonesia</w:t>
      </w:r>
    </w:p>
    <w:p>
      <w:r>
        <w:rPr>
          <w:rFonts w:ascii="Aptos" w:hAnsi="Aptos" w:eastAsia="Aptos"/>
        </w:rPr>
        <w:t>Saya memiliki visi pendidikan Indonesia yang memberi kesempatan kepada setiap peserta didik untuk berkembang sesuai potensi, kebutuhan, dan latar belakangnya. Bagi saya, keberhasilan pendidikan tidak cukup diukur dari selesainya materi atau tingginya nilai, tetapi juga dari apakah murid memahami alasan suatu pengetahuan dipelajari, mampu menggunakannya, berani bertanya, dan dapat memperbaiki kesalahan. Pendidikan perlu menjaga keseimbangan antara pencapaian akademik, pembentukan karakter, kemampuan bekerja sama, kreativitas, dan tanggung jawab.</w:t>
      </w:r>
    </w:p>
    <w:p>
      <w:r>
        <w:rPr>
          <w:rFonts w:ascii="Aptos" w:hAnsi="Aptos" w:eastAsia="Aptos"/>
        </w:rPr>
        <w:t>Pembelajaran yang baik perlu terasa bermakna dan dapat dihubungkan dengan kehidupan sehari-hari. Dalam bidang Informatika, murid bukan hanya perlu mengenali fitur aplikasi atau menuliskan kode, tetapi juga memahami logika, mencoba solusi, memeriksa hasil, dan menjelaskan alasan di balik langkah yang dipilih. Perkembangan teknologi membuat literasi digital semakin penting, termasuk kemampuan menilai informasi, menjaga privasi, menghormati hak cipta, dan menggunakan teknologi secara etis. Karena itu, teknologi seharusnya dipilih karena membantu mencapai tujuan belajar, bukan hanya karena terlihat modern.</w:t>
      </w:r>
    </w:p>
    <w:p>
      <w:r>
        <w:rPr>
          <w:rFonts w:ascii="Aptos" w:hAnsi="Aptos" w:eastAsia="Aptos"/>
        </w:rPr>
        <w:t>Saya berharap pendidikan Indonesia lebih peka terhadap keragaman kesiapan, pengalaman, akses perangkat, dan kepercayaan diri murid. Lingkungan sekolah perlu memberi rasa aman untuk bertanya dan mencoba, sekaligus memiliki aturan yang jelas dan adil. Pengalaman saya sebagai murid menunjukkan bahwa kedisiplinan tidak harus membuat murid takut. Sekolah yang baik membantu murid tumbuh dengan standar yang jelas, dukungan yang tepat, dan kesempatan untuk memperbaiki diri.</w:t>
      </w:r>
    </w:p>
    <w:p>
      <w:pPr>
        <w:pStyle w:val="Heading1"/>
      </w:pPr>
      <w:r>
        <w:t>B. Visi Pribadi sebagai Calon Guru</w:t>
      </w:r>
    </w:p>
    <w:p>
      <w:r>
        <w:rPr>
          <w:rFonts w:ascii="Aptos" w:hAnsi="Aptos" w:eastAsia="Aptos"/>
        </w:rPr>
        <w:t>Saya ingin menjadi guru Informatika yang kuat dalam penguasaan materi sekaligus mampu mengelola pembelajaran yang berpusat pada kebutuhan murid. Saya ingin menjelaskan konsep secara akurat dan runtut, memilih strategi berdasarkan tujuan serta kesiapan murid, menggunakan asesmen untuk menentukan tindak lanjut, dan menciptakan komunikasi yang membuat murid berani bertanya. Saya berharap murid melihat Informatika bukan hanya kumpulan istilah teknis atau kode program, melainkan cara berpikir untuk memecahkan masalah, bekerja sama, dan menghasilkan karya yang bertanggung jawab.</w:t>
      </w:r>
    </w:p>
    <w:p>
      <w:r>
        <w:rPr>
          <w:rFonts w:ascii="Aptos" w:hAnsi="Aptos" w:eastAsia="Aptos"/>
        </w:rPr>
        <w:t>Visi tersebut juga dipengaruhi pengalaman saya ketika bersekolah di SMPN 4 Garut. Pak Asep Kusdian saya ingat sebagai guru yang suportif dan memotivasi, sedangkan Bu Nunung Zamilah tegas dalam kedisiplinan tetapi tetap menciptakan suasana kelas yang nyaman. Keduanya memberi contoh yang berbeda tetapi saling melengkapi: guru dapat memberi dukungan tanpa kehilangan ketegasan, dan dapat menegakkan aturan tanpa mempermalukan murid. Saya ingin meneladani nilai itu melalui konsistensi, cara berkomunikasi, pemberian umpan balik, dan respons ketika murid melakukan kesalahan.</w:t>
      </w:r>
    </w:p>
    <w:p>
      <w:pPr>
        <w:keepLines/>
      </w:pPr>
      <w:r>
        <w:rPr>
          <w:rFonts w:ascii="Aptos" w:hAnsi="Aptos" w:eastAsia="Aptos"/>
        </w:rPr>
        <w:t>Setelah lulus S1 Pendidikan Teknologi Informasi, saya belum percaya diri untuk langsung menjadi guru dan memilih bekerja sebagai Social Media Specialist di Larisko. Saya belajar mengelola konten, merancang komunikasi visual, dan menyampaikan pesan kepada audiens. Seiring waktu, saya merasa mulai jenuh karena manfaat pekerjaan yang saya kerjakan terutama dirasakan oleh perusahaan, sementara saya ingin mengarahkan kemampuan saya pada ruang yang memungkinkan saya turut mendampingi perkembangan orang lain. Saya juga tertarik dengan profesi yang memberi kesempatan bertemu murid dengan pengalaman dan cara berpikir yang berbeda setiap tahun. Kesadaran itu mendorong saya kembali ke bidang pendidikan melalui PPG, bukan karena pengalaman kreatif sebelumnya tidak berguna, tetapi karena saya ingin menggunakan pengalaman tersebut dengan tujuan yang lebih luas.</w:t>
      </w:r>
    </w:p>
    <w:p>
      <w:r>
        <w:rPr>
          <w:rFonts w:ascii="Aptos" w:hAnsi="Aptos" w:eastAsia="Aptos"/>
        </w:rPr>
        <w:t>Saya senang mengeksplorasi hal baru, termasuk menjadi content creator dan mengikuti kesempatan seperti Indonesia’s Got Talent. Saya melihat pengalaman tersebut sebagai latihan keberanian mencoba, belajar dari proses, dan menunjukkan diri di situasi yang menantang. Saya juga ingin pengalaman itu dapat memotivasi orang lain agar berani mengembangkan potensinya. Dalam profesi guru, kreativitas tersebut perlu tetap diarahkan pada kepentingan murid: media visual dan aktivitas menarik harus membantu pemahaman, bukan menjadi hiasan yang mengalihkan perhatian dari tujuan belajar.</w:t>
      </w:r>
    </w:p>
    <w:p>
      <w:pPr>
        <w:pStyle w:val="Heading1"/>
      </w:pPr>
      <w:r>
        <w:t>C. Langkah Konkret untuk Mencapai Visi</w:t>
      </w:r>
    </w:p>
    <w:p>
      <w:r>
        <w:t>Agar visi tersebut tidak berhenti sebagai harapan, saya perlu menerjemahkannya ke dalam kebiasaan dan tindakan yang dapat dilakukan serta dievaluasi.</w:t>
      </w:r>
    </w:p>
    <w:tbl>
      <w:tblPr>
        <w:tblStyle w:val="TableGrid"/>
        <w:tblW w:type="auto" w:w="0"/>
        <w:jc w:val="center"/>
        <w:tblLayout w:type="autofit"/>
        <w:tblLook w:firstColumn="1" w:firstRow="1" w:lastColumn="0" w:lastRow="0" w:noHBand="0" w:noVBand="1" w:val="04A0"/>
      </w:tblPr>
      <w:tblGrid>
        <w:gridCol w:w="2088"/>
        <w:gridCol w:w="4824"/>
        <w:gridCol w:w="3168"/>
      </w:tblGrid>
      <w:tr>
        <w:trPr>
          <w:tblHeader w:val="true"/>
          <w:cantSplit/>
        </w:trPr>
        <w:tc>
          <w:tcPr>
            <w:tcW w:type="dxa" w:w="3331"/>
            <w:shd w:fill="17365D"/>
            <w:tcMar>
              <w:top w:w="100" w:type="dxa"/>
              <w:start w:w="100" w:type="dxa"/>
              <w:bottom w:w="100" w:type="dxa"/>
              <w:end w:w="100" w:type="dxa"/>
            </w:tcMar>
            <w:vAlign w:val="top"/>
            <w:shd w:fill="17365D"/>
          </w:tcPr>
          <w:p>
            <w:pPr>
              <w:spacing w:after="40" w:line="240" w:lineRule="auto"/>
            </w:pPr>
            <w:r>
              <w:rPr>
                <w:rFonts w:ascii="Aptos" w:hAnsi="Aptos"/>
                <w:b/>
                <w:color w:val="FFFFFF"/>
                <w:sz w:val="16"/>
              </w:rPr>
              <w:t>Fokus</w:t>
            </w:r>
          </w:p>
        </w:tc>
        <w:tc>
          <w:tcPr>
            <w:tcW w:type="dxa" w:w="3331"/>
            <w:shd w:fill="17365D"/>
            <w:tcMar>
              <w:top w:w="100" w:type="dxa"/>
              <w:start w:w="100" w:type="dxa"/>
              <w:bottom w:w="100" w:type="dxa"/>
              <w:end w:w="100" w:type="dxa"/>
            </w:tcMar>
            <w:vAlign w:val="top"/>
            <w:shd w:fill="17365D"/>
          </w:tcPr>
          <w:p>
            <w:pPr>
              <w:spacing w:after="40" w:line="240" w:lineRule="auto"/>
            </w:pPr>
            <w:r>
              <w:rPr>
                <w:rFonts w:ascii="Aptos" w:hAnsi="Aptos"/>
                <w:b/>
                <w:color w:val="FFFFFF"/>
                <w:sz w:val="16"/>
              </w:rPr>
              <w:t>Tindakan Konkret</w:t>
            </w:r>
          </w:p>
        </w:tc>
        <w:tc>
          <w:tcPr>
            <w:tcW w:type="dxa" w:w="3331"/>
            <w:shd w:fill="17365D"/>
            <w:tcMar>
              <w:top w:w="100" w:type="dxa"/>
              <w:start w:w="100" w:type="dxa"/>
              <w:bottom w:w="100" w:type="dxa"/>
              <w:end w:w="100" w:type="dxa"/>
            </w:tcMar>
            <w:vAlign w:val="top"/>
            <w:shd w:fill="17365D"/>
          </w:tcPr>
          <w:p>
            <w:pPr>
              <w:spacing w:after="40" w:line="240" w:lineRule="auto"/>
            </w:pPr>
            <w:r>
              <w:rPr>
                <w:rFonts w:ascii="Aptos" w:hAnsi="Aptos"/>
                <w:b/>
                <w:color w:val="FFFFFF"/>
                <w:sz w:val="16"/>
              </w:rPr>
              <w:t>Indikator Perkembangan</w:t>
            </w:r>
          </w:p>
        </w:tc>
      </w:tr>
      <w:tr>
        <w:trPr>
          <w:cantSplit/>
        </w:trPr>
        <w:tc>
          <w:tcPr>
            <w:tcW w:type="dxa" w:w="2088"/>
            <w:vAlign w:val="top"/>
            <w:tcMar>
              <w:top w:w="45" w:type="dxa"/>
              <w:start w:w="80" w:type="dxa"/>
              <w:bottom w:w="45" w:type="dxa"/>
              <w:end w:w="80" w:type="dxa"/>
            </w:tcMar>
          </w:tcPr>
          <w:p>
            <w:pPr>
              <w:spacing w:after="40" w:line="240" w:lineRule="auto"/>
            </w:pPr>
            <w:r>
              <w:rPr>
                <w:rFonts w:ascii="Aptos" w:hAnsi="Aptos" w:eastAsia="Aptos"/>
                <w:b w:val="0"/>
                <w:color w:val="2D3742"/>
                <w:sz w:val="16"/>
              </w:rPr>
              <w:t>Kompetensi profesional - penguasaan Informatika</w:t>
            </w:r>
          </w:p>
        </w:tc>
        <w:tc>
          <w:tcPr>
            <w:tcW w:type="dxa" w:w="4824"/>
            <w:vAlign w:val="top"/>
            <w:tcMar>
              <w:top w:w="45" w:type="dxa"/>
              <w:start w:w="80" w:type="dxa"/>
              <w:bottom w:w="45" w:type="dxa"/>
              <w:end w:w="80" w:type="dxa"/>
            </w:tcMar>
          </w:tcPr>
          <w:p>
            <w:pPr>
              <w:spacing w:after="40" w:line="240" w:lineRule="auto"/>
            </w:pPr>
            <w:r>
              <w:rPr>
                <w:rFonts w:ascii="Aptos" w:hAnsi="Aptos" w:eastAsia="Aptos"/>
                <w:b w:val="0"/>
                <w:color w:val="2D3742"/>
                <w:sz w:val="16"/>
              </w:rPr>
              <w:t>Mempelajari kembali konsep dan prosedur Informatika, berlatih coding, memeriksa ketepatan contoh, dan mengikuti sumber belajar/pelatihan yang relevan. Sebelum mengajar topik baru, saya menyiapkan ringkasan konsep, kemungkinan miskonsepsi, contoh, dan latihan.</w:t>
            </w:r>
          </w:p>
        </w:tc>
        <w:tc>
          <w:tcPr>
            <w:tcW w:type="dxa" w:w="3168"/>
            <w:vAlign w:val="top"/>
            <w:tcMar>
              <w:top w:w="45" w:type="dxa"/>
              <w:start w:w="80" w:type="dxa"/>
              <w:bottom w:w="45" w:type="dxa"/>
              <w:end w:w="80" w:type="dxa"/>
            </w:tcMar>
          </w:tcPr>
          <w:p>
            <w:pPr>
              <w:spacing w:after="40" w:line="240" w:lineRule="auto"/>
            </w:pPr>
            <w:r>
              <w:rPr>
                <w:rFonts w:ascii="Aptos" w:hAnsi="Aptos" w:eastAsia="Aptos"/>
                <w:b w:val="0"/>
                <w:color w:val="2D3742"/>
                <w:sz w:val="16"/>
              </w:rPr>
              <w:t>Saya mampu menjelaskan konsep tanpa bergantung sepenuhnya pada slide, memberi contoh yang benar, dan menjawab pertanyaan dengan alasan yang dapat dipertanggungjawabkan.</w:t>
            </w:r>
          </w:p>
        </w:tc>
      </w:tr>
      <w:tr>
        <w:trPr>
          <w:cantSplit/>
        </w:trPr>
        <w:tc>
          <w:tcPr>
            <w:tcW w:type="dxa" w:w="2088"/>
            <w:vAlign w:val="top"/>
            <w:tcMar>
              <w:top w:w="45" w:type="dxa"/>
              <w:start w:w="80" w:type="dxa"/>
              <w:bottom w:w="45" w:type="dxa"/>
              <w:end w:w="80" w:type="dxa"/>
            </w:tcMar>
            <w:shd w:fill="F3F6F8"/>
            <w:shd w:fill="F1F6F7"/>
          </w:tcPr>
          <w:p>
            <w:pPr>
              <w:spacing w:after="40" w:line="240" w:lineRule="auto"/>
            </w:pPr>
            <w:r>
              <w:rPr>
                <w:rFonts w:ascii="Aptos" w:hAnsi="Aptos" w:eastAsia="Aptos"/>
                <w:b w:val="0"/>
                <w:color w:val="2D3742"/>
                <w:sz w:val="16"/>
              </w:rPr>
              <w:t>Kompetensi pedagogik - perencanaan dan asesmen</w:t>
            </w:r>
          </w:p>
        </w:tc>
        <w:tc>
          <w:tcPr>
            <w:tcW w:type="dxa" w:w="4824"/>
            <w:vAlign w:val="top"/>
            <w:tcMar>
              <w:top w:w="45" w:type="dxa"/>
              <w:start w:w="80" w:type="dxa"/>
              <w:bottom w:w="45" w:type="dxa"/>
              <w:end w:w="80" w:type="dxa"/>
            </w:tcMar>
            <w:shd w:fill="F3F6F8"/>
            <w:shd w:fill="F1F6F7"/>
          </w:tcPr>
          <w:p>
            <w:pPr>
              <w:spacing w:after="40" w:line="240" w:lineRule="auto"/>
            </w:pPr>
            <w:r>
              <w:rPr>
                <w:rFonts w:ascii="Aptos" w:hAnsi="Aptos" w:eastAsia="Aptos"/>
                <w:b w:val="0"/>
                <w:color w:val="2D3742"/>
                <w:sz w:val="16"/>
              </w:rPr>
              <w:t>Merumuskan tujuan dan indikator keberhasilan; memetakan pengetahuan/keterampilan prasyarat; menyusun kegiatan, media, serta asesmen yang selaras; menyiapkan dukungan bertahap dan pengayaan.</w:t>
            </w:r>
          </w:p>
        </w:tc>
        <w:tc>
          <w:tcPr>
            <w:tcW w:type="dxa" w:w="3168"/>
            <w:vAlign w:val="top"/>
            <w:tcMar>
              <w:top w:w="45" w:type="dxa"/>
              <w:start w:w="80" w:type="dxa"/>
              <w:bottom w:w="45" w:type="dxa"/>
              <w:end w:w="80" w:type="dxa"/>
            </w:tcMar>
            <w:shd w:fill="F3F6F8"/>
            <w:shd w:fill="F1F6F7"/>
          </w:tcPr>
          <w:p>
            <w:pPr>
              <w:spacing w:after="40" w:line="240" w:lineRule="auto"/>
            </w:pPr>
            <w:r>
              <w:rPr>
                <w:rFonts w:ascii="Aptos" w:hAnsi="Aptos" w:eastAsia="Aptos"/>
                <w:b w:val="0"/>
                <w:color w:val="2D3742"/>
                <w:sz w:val="16"/>
              </w:rPr>
              <w:t>Perangkat ajar menunjukkan keselarasan tujuan-kegiatan-asesmen; hasil asesmen awal dan formatif menghasilkan tindak lanjut yang jelas.</w:t>
            </w:r>
          </w:p>
        </w:tc>
      </w:tr>
      <w:tr>
        <w:trPr>
          <w:cantSplit/>
        </w:trPr>
        <w:tc>
          <w:tcPr>
            <w:tcW w:type="dxa" w:w="2088"/>
            <w:vAlign w:val="top"/>
            <w:tcMar>
              <w:top w:w="45" w:type="dxa"/>
              <w:start w:w="80" w:type="dxa"/>
              <w:bottom w:w="45" w:type="dxa"/>
              <w:end w:w="80" w:type="dxa"/>
            </w:tcMar>
          </w:tcPr>
          <w:p>
            <w:pPr>
              <w:spacing w:after="40" w:line="240" w:lineRule="auto"/>
            </w:pPr>
            <w:r>
              <w:rPr>
                <w:rFonts w:ascii="Aptos" w:hAnsi="Aptos" w:eastAsia="Aptos"/>
                <w:b w:val="0"/>
                <w:color w:val="2D3742"/>
                <w:sz w:val="16"/>
              </w:rPr>
              <w:t>Kompetensi pedagogik - memahami keragaman murid</w:t>
            </w:r>
          </w:p>
        </w:tc>
        <w:tc>
          <w:tcPr>
            <w:tcW w:type="dxa" w:w="4824"/>
            <w:vAlign w:val="top"/>
            <w:tcMar>
              <w:top w:w="45" w:type="dxa"/>
              <w:start w:w="80" w:type="dxa"/>
              <w:bottom w:w="45" w:type="dxa"/>
              <w:end w:w="80" w:type="dxa"/>
            </w:tcMar>
          </w:tcPr>
          <w:p>
            <w:pPr>
              <w:spacing w:after="40" w:line="240" w:lineRule="auto"/>
            </w:pPr>
            <w:r>
              <w:rPr>
                <w:rFonts w:ascii="Aptos" w:hAnsi="Aptos" w:eastAsia="Aptos"/>
                <w:b w:val="0"/>
                <w:color w:val="2D3742"/>
                <w:sz w:val="16"/>
              </w:rPr>
              <w:t>Menggabungkan asesmen awal dengan observasi selama praktik, pertanyaan lisan, hasil LKPD, dan cek pemahaman individu. Untuk keterampilan komputer, memeriksa prasyarat secara langsung, bukan hanya mengandalkan pertanyaan umum.</w:t>
            </w:r>
          </w:p>
        </w:tc>
        <w:tc>
          <w:tcPr>
            <w:tcW w:type="dxa" w:w="3168"/>
            <w:vAlign w:val="top"/>
            <w:tcMar>
              <w:top w:w="45" w:type="dxa"/>
              <w:start w:w="80" w:type="dxa"/>
              <w:bottom w:w="45" w:type="dxa"/>
              <w:end w:w="80" w:type="dxa"/>
            </w:tcMar>
          </w:tcPr>
          <w:p>
            <w:pPr>
              <w:spacing w:after="40" w:line="240" w:lineRule="auto"/>
            </w:pPr>
            <w:r>
              <w:rPr>
                <w:rFonts w:ascii="Aptos" w:hAnsi="Aptos" w:eastAsia="Aptos"/>
                <w:b w:val="0"/>
                <w:color w:val="2D3742"/>
                <w:sz w:val="16"/>
              </w:rPr>
              <w:t>Dukungan dan alokasi waktu ditentukan berdasarkan bukti; murid pemula memperoleh panduan, sedangkan murid yang siap mendapat tantangan lanjutan.</w:t>
            </w:r>
          </w:p>
        </w:tc>
      </w:tr>
      <w:tr>
        <w:trPr>
          <w:cantSplit/>
        </w:trPr>
        <w:tc>
          <w:tcPr>
            <w:tcW w:type="dxa" w:w="2088"/>
            <w:vAlign w:val="top"/>
            <w:tcMar>
              <w:top w:w="45" w:type="dxa"/>
              <w:start w:w="80" w:type="dxa"/>
              <w:bottom w:w="45" w:type="dxa"/>
              <w:end w:w="80" w:type="dxa"/>
            </w:tcMar>
            <w:shd w:fill="F3F6F8"/>
            <w:shd w:fill="F1F6F7"/>
          </w:tcPr>
          <w:p>
            <w:pPr>
              <w:spacing w:after="40" w:line="240" w:lineRule="auto"/>
            </w:pPr>
            <w:r>
              <w:rPr>
                <w:rFonts w:ascii="Aptos" w:hAnsi="Aptos" w:eastAsia="Aptos"/>
                <w:b w:val="0"/>
                <w:color w:val="2D3742"/>
                <w:sz w:val="16"/>
              </w:rPr>
              <w:t>Kompetensi kepribadian - keteladanan dan refleksi diri</w:t>
            </w:r>
          </w:p>
        </w:tc>
        <w:tc>
          <w:tcPr>
            <w:tcW w:type="dxa" w:w="4824"/>
            <w:vAlign w:val="top"/>
            <w:tcMar>
              <w:top w:w="45" w:type="dxa"/>
              <w:start w:w="80" w:type="dxa"/>
              <w:bottom w:w="45" w:type="dxa"/>
              <w:end w:w="80" w:type="dxa"/>
            </w:tcMar>
            <w:shd w:fill="F3F6F8"/>
            <w:shd w:fill="F1F6F7"/>
          </w:tcPr>
          <w:p>
            <w:pPr>
              <w:spacing w:after="40" w:line="240" w:lineRule="auto"/>
            </w:pPr>
            <w:r>
              <w:rPr>
                <w:rFonts w:ascii="Aptos" w:hAnsi="Aptos" w:eastAsia="Aptos"/>
                <w:b w:val="0"/>
                <w:color w:val="2D3742"/>
                <w:sz w:val="16"/>
              </w:rPr>
              <w:t>Menjaga konsistensi, disiplin, kejujuran akademik, pengelolaan emosi, dan kesediaan mengakui kekurangan. Setelah mengajar, saya mencatat satu hal yang berjalan baik dan satu hal yang perlu diperbaiki.</w:t>
            </w:r>
          </w:p>
        </w:tc>
        <w:tc>
          <w:tcPr>
            <w:tcW w:type="dxa" w:w="3168"/>
            <w:vAlign w:val="top"/>
            <w:tcMar>
              <w:top w:w="45" w:type="dxa"/>
              <w:start w:w="80" w:type="dxa"/>
              <w:bottom w:w="45" w:type="dxa"/>
              <w:end w:w="80" w:type="dxa"/>
            </w:tcMar>
            <w:shd w:fill="F3F6F8"/>
            <w:shd w:fill="F1F6F7"/>
          </w:tcPr>
          <w:p>
            <w:pPr>
              <w:spacing w:after="40" w:line="240" w:lineRule="auto"/>
            </w:pPr>
            <w:r>
              <w:rPr>
                <w:rFonts w:ascii="Aptos" w:hAnsi="Aptos" w:eastAsia="Aptos"/>
                <w:b w:val="0"/>
                <w:color w:val="2D3742"/>
                <w:sz w:val="16"/>
              </w:rPr>
              <w:t>Saya memberi teguran tanpa mempermalukan, menerima masukan, dan memiliki catatan refleksi dengan tindak lanjut yang terlihat pada pembelajaran berikutnya.</w:t>
            </w:r>
          </w:p>
        </w:tc>
      </w:tr>
      <w:tr>
        <w:trPr>
          <w:cantSplit/>
        </w:trPr>
        <w:tc>
          <w:tcPr>
            <w:tcW w:type="dxa" w:w="2088"/>
            <w:vAlign w:val="top"/>
            <w:tcMar>
              <w:top w:w="45" w:type="dxa"/>
              <w:start w:w="80" w:type="dxa"/>
              <w:bottom w:w="45" w:type="dxa"/>
              <w:end w:w="80" w:type="dxa"/>
            </w:tcMar>
          </w:tcPr>
          <w:p>
            <w:pPr>
              <w:spacing w:after="40" w:line="240" w:lineRule="auto"/>
            </w:pPr>
            <w:r>
              <w:rPr>
                <w:rFonts w:ascii="Aptos" w:hAnsi="Aptos" w:eastAsia="Aptos"/>
                <w:b w:val="0"/>
                <w:color w:val="2D3742"/>
                <w:sz w:val="16"/>
              </w:rPr>
              <w:t>Kompetensi sosial - komunikasi dan kolaborasi</w:t>
            </w:r>
          </w:p>
        </w:tc>
        <w:tc>
          <w:tcPr>
            <w:tcW w:type="dxa" w:w="4824"/>
            <w:vAlign w:val="top"/>
            <w:tcMar>
              <w:top w:w="45" w:type="dxa"/>
              <w:start w:w="80" w:type="dxa"/>
              <w:bottom w:w="45" w:type="dxa"/>
              <w:end w:w="80" w:type="dxa"/>
            </w:tcMar>
          </w:tcPr>
          <w:p>
            <w:pPr>
              <w:spacing w:after="40" w:line="240" w:lineRule="auto"/>
            </w:pPr>
            <w:r>
              <w:rPr>
                <w:rFonts w:ascii="Aptos" w:hAnsi="Aptos" w:eastAsia="Aptos"/>
                <w:b w:val="0"/>
                <w:color w:val="2D3742"/>
                <w:sz w:val="16"/>
              </w:rPr>
              <w:t>Membangun komunikasi yang santun dan jelas dengan murid; berkoordinasi dengan guru pamong/rekan sejawat; serta merancang kerja kelompok dengan peran dan tanggung jawab yang terukur.</w:t>
            </w:r>
          </w:p>
        </w:tc>
        <w:tc>
          <w:tcPr>
            <w:tcW w:type="dxa" w:w="3168"/>
            <w:vAlign w:val="top"/>
            <w:tcMar>
              <w:top w:w="45" w:type="dxa"/>
              <w:start w:w="80" w:type="dxa"/>
              <w:bottom w:w="45" w:type="dxa"/>
              <w:end w:w="80" w:type="dxa"/>
            </w:tcMar>
          </w:tcPr>
          <w:p>
            <w:pPr>
              <w:spacing w:after="40" w:line="240" w:lineRule="auto"/>
            </w:pPr>
            <w:r>
              <w:rPr>
                <w:rFonts w:ascii="Aptos" w:hAnsi="Aptos" w:eastAsia="Aptos"/>
                <w:b w:val="0"/>
                <w:color w:val="2D3742"/>
                <w:sz w:val="16"/>
              </w:rPr>
              <w:t>Murid mendapat kesempatan bertanya dan berkontribusi; koordinasi menghasilkan keputusan/tindak lanjut, bukan hanya pertukaran informasi.</w:t>
            </w:r>
          </w:p>
        </w:tc>
      </w:tr>
      <w:tr>
        <w:trPr>
          <w:cantSplit/>
        </w:trPr>
        <w:tc>
          <w:tcPr>
            <w:tcW w:type="dxa" w:w="2088"/>
            <w:vAlign w:val="top"/>
            <w:tcMar>
              <w:top w:w="45" w:type="dxa"/>
              <w:start w:w="80" w:type="dxa"/>
              <w:bottom w:w="45" w:type="dxa"/>
              <w:end w:w="80" w:type="dxa"/>
            </w:tcMar>
            <w:shd w:fill="F3F6F8"/>
            <w:shd w:fill="F1F6F7"/>
          </w:tcPr>
          <w:p>
            <w:pPr>
              <w:spacing w:after="40" w:line="240" w:lineRule="auto"/>
            </w:pPr>
            <w:r>
              <w:rPr>
                <w:rFonts w:ascii="Aptos" w:hAnsi="Aptos" w:eastAsia="Aptos"/>
                <w:b w:val="0"/>
                <w:color w:val="2D3742"/>
                <w:sz w:val="16"/>
              </w:rPr>
              <w:t>Kreativitas dan etika digital</w:t>
            </w:r>
          </w:p>
        </w:tc>
        <w:tc>
          <w:tcPr>
            <w:tcW w:type="dxa" w:w="4824"/>
            <w:vAlign w:val="top"/>
            <w:tcMar>
              <w:top w:w="45" w:type="dxa"/>
              <w:start w:w="80" w:type="dxa"/>
              <w:bottom w:w="45" w:type="dxa"/>
              <w:end w:w="80" w:type="dxa"/>
            </w:tcMar>
            <w:shd w:fill="F3F6F8"/>
            <w:shd w:fill="F1F6F7"/>
          </w:tcPr>
          <w:p>
            <w:pPr>
              <w:spacing w:after="40" w:line="240" w:lineRule="auto"/>
            </w:pPr>
            <w:r>
              <w:rPr>
                <w:rFonts w:ascii="Aptos" w:hAnsi="Aptos" w:eastAsia="Aptos"/>
                <w:b w:val="0"/>
                <w:color w:val="2D3742"/>
                <w:sz w:val="16"/>
              </w:rPr>
              <w:t>Memanfaatkan pengalaman produksi konten untuk membuat media, instruksi visual, dan contoh yang dekat dengan murid. Memastikan hak cipta, privasi, sumber, serta tujuan belajar tetap diperhatikan.</w:t>
            </w:r>
          </w:p>
        </w:tc>
        <w:tc>
          <w:tcPr>
            <w:tcW w:type="dxa" w:w="3168"/>
            <w:vAlign w:val="top"/>
            <w:tcMar>
              <w:top w:w="45" w:type="dxa"/>
              <w:start w:w="80" w:type="dxa"/>
              <w:bottom w:w="45" w:type="dxa"/>
              <w:end w:w="80" w:type="dxa"/>
            </w:tcMar>
            <w:shd w:fill="F3F6F8"/>
            <w:shd w:fill="F1F6F7"/>
          </w:tcPr>
          <w:p>
            <w:pPr>
              <w:spacing w:after="40" w:line="240" w:lineRule="auto"/>
            </w:pPr>
            <w:r>
              <w:rPr>
                <w:rFonts w:ascii="Aptos" w:hAnsi="Aptos" w:eastAsia="Aptos"/>
                <w:b w:val="0"/>
                <w:color w:val="2D3742"/>
                <w:sz w:val="16"/>
              </w:rPr>
              <w:t>Media mudah digunakan dan relevan; penggunaannya membantu murid mencapai indikator belajar dan tidak mengabaikan etika digital.</w:t>
            </w:r>
          </w:p>
        </w:tc>
      </w:tr>
      <w:tr>
        <w:trPr>
          <w:cantSplit/>
        </w:trPr>
        <w:tc>
          <w:tcPr>
            <w:tcW w:type="dxa" w:w="2088"/>
            <w:vAlign w:val="top"/>
            <w:tcMar>
              <w:top w:w="45" w:type="dxa"/>
              <w:start w:w="80" w:type="dxa"/>
              <w:bottom w:w="45" w:type="dxa"/>
              <w:end w:w="80" w:type="dxa"/>
            </w:tcMar>
          </w:tcPr>
          <w:p>
            <w:pPr>
              <w:spacing w:after="40" w:line="240" w:lineRule="auto"/>
            </w:pPr>
            <w:r>
              <w:rPr>
                <w:rFonts w:ascii="Aptos" w:hAnsi="Aptos" w:eastAsia="Aptos"/>
                <w:b w:val="0"/>
                <w:color w:val="2D3742"/>
                <w:sz w:val="16"/>
              </w:rPr>
              <w:t>Pengembangan profesional berkelanjutan</w:t>
            </w:r>
          </w:p>
        </w:tc>
        <w:tc>
          <w:tcPr>
            <w:tcW w:type="dxa" w:w="4824"/>
            <w:vAlign w:val="top"/>
            <w:tcMar>
              <w:top w:w="45" w:type="dxa"/>
              <w:start w:w="80" w:type="dxa"/>
              <w:bottom w:w="45" w:type="dxa"/>
              <w:end w:w="80" w:type="dxa"/>
            </w:tcMar>
          </w:tcPr>
          <w:p>
            <w:pPr>
              <w:spacing w:after="40" w:line="240" w:lineRule="auto"/>
            </w:pPr>
            <w:r>
              <w:rPr>
                <w:rFonts w:ascii="Aptos" w:hAnsi="Aptos" w:eastAsia="Aptos"/>
                <w:b w:val="0"/>
                <w:color w:val="2D3742"/>
                <w:sz w:val="16"/>
              </w:rPr>
              <w:t>Mengikuti pelatihan, membaca sumber tepercaya, berbagi praktik dengan komunitas guru, dan mengevaluasi target pengembangan setiap beberapa bulan.</w:t>
            </w:r>
          </w:p>
        </w:tc>
        <w:tc>
          <w:tcPr>
            <w:tcW w:type="dxa" w:w="3168"/>
            <w:vAlign w:val="top"/>
            <w:tcMar>
              <w:top w:w="45" w:type="dxa"/>
              <w:start w:w="80" w:type="dxa"/>
              <w:bottom w:w="45" w:type="dxa"/>
              <w:end w:w="80" w:type="dxa"/>
            </w:tcMar>
          </w:tcPr>
          <w:p>
            <w:pPr>
              <w:spacing w:after="40" w:line="240" w:lineRule="auto"/>
            </w:pPr>
            <w:r>
              <w:rPr>
                <w:rFonts w:ascii="Aptos" w:hAnsi="Aptos" w:eastAsia="Aptos"/>
                <w:b w:val="0"/>
                <w:color w:val="2D3742"/>
                <w:sz w:val="16"/>
              </w:rPr>
              <w:t>Terdapat target pengembangan yang spesifik, bukti belajar, dan perubahan praktik yang dapat ditinjau.</w:t>
            </w:r>
          </w:p>
        </w:tc>
      </w:tr>
      <w:tr>
        <w:tc>
          <w:tcPr>
            <w:tcW w:type="dxa" w:w="2088"/>
            <w:vAlign w:val="top"/>
            <w:shd w:fill="F1F6F7"/>
          </w:tcPr>
          <w:p>
            <w:pPr>
              <w:spacing w:after="40" w:line="240" w:lineRule="auto"/>
            </w:pPr>
            <w:r>
              <w:rPr>
                <w:rFonts w:ascii="Aptos" w:hAnsi="Aptos"/>
                <w:sz w:val="16"/>
              </w:rPr>
              <w:t>Pengembangan media pembelajaran Informatika yang terpadu</w:t>
            </w:r>
          </w:p>
        </w:tc>
        <w:tc>
          <w:tcPr>
            <w:tcW w:type="dxa" w:w="4824"/>
            <w:vAlign w:val="top"/>
            <w:shd w:fill="F1F6F7"/>
          </w:tcPr>
          <w:p>
            <w:pPr>
              <w:spacing w:after="40" w:line="240" w:lineRule="auto"/>
            </w:pPr>
            <w:r>
              <w:rPr>
                <w:rFonts w:ascii="Aptos" w:hAnsi="Aptos"/>
                <w:sz w:val="16"/>
              </w:rPr>
              <w:t>Mengembangkan Ruang Informatika SMA secara bertahap sebagai ruang belajar digital yang menghubungkan materi setiap pertemuan, aktivitas interaktif, LKPD, asesmen, forum, proyek, refleksi, dan dashboard guru. Pengembangan dimulai dari pemetaan kebutuhan, satu unit lengkap, uji penggunaan, evaluasi, lalu perluasan ke beberapa kelas dan topik.</w:t>
            </w:r>
          </w:p>
        </w:tc>
        <w:tc>
          <w:tcPr>
            <w:tcW w:type="dxa" w:w="3168"/>
            <w:vAlign w:val="top"/>
            <w:shd w:fill="F1F6F7"/>
          </w:tcPr>
          <w:p>
            <w:pPr>
              <w:spacing w:after="40" w:line="240" w:lineRule="auto"/>
            </w:pPr>
            <w:r>
              <w:rPr>
                <w:rFonts w:ascii="Aptos" w:hAnsi="Aptos"/>
                <w:sz w:val="16"/>
              </w:rPr>
              <w:t>Setiap fitur memiliki tujuan belajar yang jelas; alur diuji oleh pengguna; hasil uji dan revisi didokumentasikan; data kelas hanya dapat diakses sesuai peran.</w:t>
            </w:r>
          </w:p>
        </w:tc>
      </w:tr>
    </w:tbl>
    <w:p>
      <w:pPr>
        <w:pStyle w:val="Heading1"/>
      </w:pPr>
      <w:r>
        <w:t>Penutup</w:t>
      </w:r>
    </w:p>
    <w:p>
      <w:r>
        <w:t>Bagi saya, menjadi guru adalah proses bertumbuh yang membutuhkan penguasaan ilmu, kepedulian, kreativitas, dan tanggung jawab. Saya tidak menganggap diri saya sudah memiliki semua kemampuan yang dibutuhkan, tetapi saya ingin terus belajar dan memperbaiki diri. Dengan meneladani guru-guru yang pernah memberi kesan positif, memanfaatkan pengalaman di bidang kreatif secara relevan, dan melakukan refleksi secara konsisten, saya berharap dapat menjadi guru Informatika yang membantu peserta didik berkembang sekaligus merasa dihargai dalam proses belajarnya.</w:t>
      </w:r>
    </w:p>
    <w:p>
      <w:r>
        <w:br w:type="page"/>
      </w:r>
    </w:p>
    <w:p>
      <w:pPr>
        <w:pStyle w:val="Heading1"/>
      </w:pPr>
      <w:r>
        <w:t>D. Komitmen Profesional dan Ukuran Perkembangan</w:t>
      </w:r>
    </w:p>
    <w:p>
      <w:r>
        <w:t>Saya memahami bahwa motivasi menjadi guru merupakan titik awal, bukan bukti bahwa seluruh kompetensi telah dikuasai. Karena itu, saya perlu menilai perkembangan dari tindakan dan bukti yang dapat diamati. Empat kompetensi guru yang menjadi arah pengembangan saya adalah pedagogik, kepribadian, sosial, dan profesional; keempatnya saling melengkapi dalam menjalankan tanggung jawab terhadap peserta didik.</w:t>
      </w:r>
    </w:p>
    <w:tbl>
      <w:tblPr>
        <w:tblW w:type="auto" w:w="0"/>
        <w:jc w:val="center"/>
        <w:tblLayout w:type="fixed"/>
        <w:tblLook w:firstColumn="1" w:firstRow="1" w:lastColumn="0" w:lastRow="0" w:noHBand="0" w:noVBand="1" w:val="04A0"/>
      </w:tblPr>
      <w:tblGrid>
        <w:gridCol w:w="1872"/>
        <w:gridCol w:w="4032"/>
        <w:gridCol w:w="4176"/>
      </w:tblGrid>
      <w:tr>
        <w:trPr>
          <w:tblHeader w:val="true"/>
        </w:trPr>
        <w:tc>
          <w:tcPr>
            <w:tcW w:type="dxa" w:w="3331"/>
            <w:vAlign w:val="top"/>
            <w:shd w:fill="17365D"/>
            <w:tcMar>
              <w:top w:w="80" w:type="dxa"/>
              <w:start w:w="90" w:type="dxa"/>
              <w:bottom w:w="80" w:type="dxa"/>
              <w:end w:w="90" w:type="dxa"/>
            </w:tcMar>
          </w:tcPr>
          <w:p>
            <w:pPr>
              <w:spacing w:after="0" w:line="240" w:lineRule="auto"/>
            </w:pPr>
            <w:r>
              <w:rPr>
                <w:rFonts w:ascii="Aptos" w:hAnsi="Aptos" w:eastAsia="Aptos"/>
                <w:b/>
                <w:color w:val="FFFFFF"/>
                <w:sz w:val="17"/>
              </w:rPr>
              <w:t>Kompetensi</w:t>
            </w:r>
          </w:p>
        </w:tc>
        <w:tc>
          <w:tcPr>
            <w:tcW w:type="dxa" w:w="3331"/>
            <w:vAlign w:val="top"/>
            <w:shd w:fill="17365D"/>
            <w:tcMar>
              <w:top w:w="80" w:type="dxa"/>
              <w:start w:w="90" w:type="dxa"/>
              <w:bottom w:w="80" w:type="dxa"/>
              <w:end w:w="90" w:type="dxa"/>
            </w:tcMar>
          </w:tcPr>
          <w:p>
            <w:pPr>
              <w:spacing w:after="0" w:line="240" w:lineRule="auto"/>
            </w:pPr>
            <w:r>
              <w:rPr>
                <w:rFonts w:ascii="Aptos" w:hAnsi="Aptos" w:eastAsia="Aptos"/>
                <w:b/>
                <w:color w:val="FFFFFF"/>
                <w:sz w:val="17"/>
              </w:rPr>
              <w:t>Makna bagi praktik saya</w:t>
            </w:r>
          </w:p>
        </w:tc>
        <w:tc>
          <w:tcPr>
            <w:tcW w:type="dxa" w:w="3331"/>
            <w:vAlign w:val="top"/>
            <w:shd w:fill="17365D"/>
            <w:tcMar>
              <w:top w:w="80" w:type="dxa"/>
              <w:start w:w="90" w:type="dxa"/>
              <w:bottom w:w="80" w:type="dxa"/>
              <w:end w:w="90" w:type="dxa"/>
            </w:tcMar>
          </w:tcPr>
          <w:p>
            <w:pPr>
              <w:spacing w:after="0" w:line="240" w:lineRule="auto"/>
            </w:pPr>
            <w:r>
              <w:rPr>
                <w:rFonts w:ascii="Aptos" w:hAnsi="Aptos" w:eastAsia="Aptos"/>
                <w:b/>
                <w:color w:val="FFFFFF"/>
                <w:sz w:val="17"/>
              </w:rPr>
              <w:t>Komitmen yang dapat diperiksa</w:t>
            </w:r>
          </w:p>
        </w:tc>
      </w:tr>
      <w:tr>
        <w:trPr>
          <w:cantSplit/>
        </w:trPr>
        <w:tc>
          <w:tcPr>
            <w:tcW w:type="dxa" w:w="1872"/>
            <w:vAlign w:val="top"/>
            <w:tcMar>
              <w:top w:w="70" w:type="dxa"/>
              <w:start w:w="90" w:type="dxa"/>
              <w:bottom w:w="70" w:type="dxa"/>
              <w:end w:w="90" w:type="dxa"/>
            </w:tcMar>
          </w:tcPr>
          <w:p>
            <w:pPr>
              <w:spacing w:after="0" w:line="240" w:lineRule="auto"/>
            </w:pPr>
            <w:r>
              <w:rPr>
                <w:rFonts w:ascii="Aptos" w:hAnsi="Aptos" w:eastAsia="Aptos"/>
                <w:b w:val="0"/>
                <w:color w:val="2D3742"/>
                <w:sz w:val="17"/>
              </w:rPr>
              <w:t>Pedagogik</w:t>
            </w:r>
          </w:p>
        </w:tc>
        <w:tc>
          <w:tcPr>
            <w:tcW w:type="dxa" w:w="4032"/>
            <w:vAlign w:val="top"/>
            <w:tcMar>
              <w:top w:w="70" w:type="dxa"/>
              <w:start w:w="90" w:type="dxa"/>
              <w:bottom w:w="70" w:type="dxa"/>
              <w:end w:w="90" w:type="dxa"/>
            </w:tcMar>
          </w:tcPr>
          <w:p>
            <w:pPr>
              <w:spacing w:after="0" w:line="240" w:lineRule="auto"/>
            </w:pPr>
            <w:r>
              <w:rPr>
                <w:rFonts w:ascii="Aptos" w:hAnsi="Aptos" w:eastAsia="Aptos"/>
                <w:b w:val="0"/>
                <w:color w:val="2D3742"/>
                <w:sz w:val="17"/>
              </w:rPr>
              <w:t>Memahami kesiapan dan kebutuhan murid, menyusun pembelajaran yang terarah, serta menggunakan asesmen untuk memutuskan tindak lanjut.</w:t>
            </w:r>
          </w:p>
        </w:tc>
        <w:tc>
          <w:tcPr>
            <w:tcW w:type="dxa" w:w="4176"/>
            <w:vAlign w:val="top"/>
            <w:tcMar>
              <w:top w:w="70" w:type="dxa"/>
              <w:start w:w="90" w:type="dxa"/>
              <w:bottom w:w="70" w:type="dxa"/>
              <w:end w:w="90" w:type="dxa"/>
            </w:tcMar>
          </w:tcPr>
          <w:p>
            <w:pPr>
              <w:spacing w:after="0" w:line="240" w:lineRule="auto"/>
            </w:pPr>
            <w:r>
              <w:rPr>
                <w:rFonts w:ascii="Aptos" w:hAnsi="Aptos" w:eastAsia="Aptos"/>
                <w:b w:val="0"/>
                <w:color w:val="2D3742"/>
                <w:sz w:val="17"/>
              </w:rPr>
              <w:t>Setiap perangkat ajar memuat tujuan, indikator, prasyarat, asesmen, dan rencana bantuan/pengayaan.</w:t>
            </w:r>
          </w:p>
        </w:tc>
      </w:tr>
      <w:tr>
        <w:trPr>
          <w:cantSplit/>
        </w:trPr>
        <w:tc>
          <w:tcPr>
            <w:tcW w:type="dxa" w:w="1872"/>
            <w:vAlign w:val="top"/>
            <w:shd w:fill="F3F6F8"/>
            <w:tcMar>
              <w:top w:w="70" w:type="dxa"/>
              <w:start w:w="90" w:type="dxa"/>
              <w:bottom w:w="70" w:type="dxa"/>
              <w:end w:w="90" w:type="dxa"/>
            </w:tcMar>
          </w:tcPr>
          <w:p>
            <w:pPr>
              <w:spacing w:after="0" w:line="240" w:lineRule="auto"/>
            </w:pPr>
            <w:r>
              <w:rPr>
                <w:rFonts w:ascii="Aptos" w:hAnsi="Aptos" w:eastAsia="Aptos"/>
                <w:b w:val="0"/>
                <w:color w:val="2D3742"/>
                <w:sz w:val="17"/>
              </w:rPr>
              <w:t>Kepribadian</w:t>
            </w:r>
          </w:p>
        </w:tc>
        <w:tc>
          <w:tcPr>
            <w:tcW w:type="dxa" w:w="4032"/>
            <w:vAlign w:val="top"/>
            <w:shd w:fill="F3F6F8"/>
            <w:tcMar>
              <w:top w:w="70" w:type="dxa"/>
              <w:start w:w="90" w:type="dxa"/>
              <w:bottom w:w="70" w:type="dxa"/>
              <w:end w:w="90" w:type="dxa"/>
            </w:tcMar>
          </w:tcPr>
          <w:p>
            <w:pPr>
              <w:spacing w:after="0" w:line="240" w:lineRule="auto"/>
            </w:pPr>
            <w:r>
              <w:rPr>
                <w:rFonts w:ascii="Aptos" w:hAnsi="Aptos" w:eastAsia="Aptos"/>
                <w:b w:val="0"/>
                <w:color w:val="2D3742"/>
                <w:sz w:val="17"/>
              </w:rPr>
              <w:t>Menjadi teladan dalam tanggung jawab, ketenangan, kedisiplinan, dan kemauan merefleksikan diri.</w:t>
            </w:r>
          </w:p>
        </w:tc>
        <w:tc>
          <w:tcPr>
            <w:tcW w:type="dxa" w:w="4176"/>
            <w:vAlign w:val="top"/>
            <w:shd w:fill="F3F6F8"/>
            <w:tcMar>
              <w:top w:w="70" w:type="dxa"/>
              <w:start w:w="90" w:type="dxa"/>
              <w:bottom w:w="70" w:type="dxa"/>
              <w:end w:w="90" w:type="dxa"/>
            </w:tcMar>
          </w:tcPr>
          <w:p>
            <w:pPr>
              <w:spacing w:after="0" w:line="240" w:lineRule="auto"/>
            </w:pPr>
            <w:r>
              <w:rPr>
                <w:rFonts w:ascii="Aptos" w:hAnsi="Aptos" w:eastAsia="Aptos"/>
                <w:b w:val="0"/>
                <w:color w:val="2D3742"/>
                <w:sz w:val="17"/>
              </w:rPr>
              <w:t>Menjaga konsistensi aturan, mengevaluasi respons pribadi, dan menindaklanjuti masukan.</w:t>
            </w:r>
          </w:p>
        </w:tc>
      </w:tr>
      <w:tr>
        <w:trPr>
          <w:cantSplit/>
        </w:trPr>
        <w:tc>
          <w:tcPr>
            <w:tcW w:type="dxa" w:w="1872"/>
            <w:vAlign w:val="top"/>
            <w:tcMar>
              <w:top w:w="70" w:type="dxa"/>
              <w:start w:w="90" w:type="dxa"/>
              <w:bottom w:w="70" w:type="dxa"/>
              <w:end w:w="90" w:type="dxa"/>
            </w:tcMar>
          </w:tcPr>
          <w:p>
            <w:pPr>
              <w:spacing w:after="0" w:line="240" w:lineRule="auto"/>
            </w:pPr>
            <w:r>
              <w:rPr>
                <w:rFonts w:ascii="Aptos" w:hAnsi="Aptos" w:eastAsia="Aptos"/>
                <w:b w:val="0"/>
                <w:color w:val="2D3742"/>
                <w:sz w:val="17"/>
              </w:rPr>
              <w:t>Sosial</w:t>
            </w:r>
          </w:p>
        </w:tc>
        <w:tc>
          <w:tcPr>
            <w:tcW w:type="dxa" w:w="4032"/>
            <w:vAlign w:val="top"/>
            <w:tcMar>
              <w:top w:w="70" w:type="dxa"/>
              <w:start w:w="90" w:type="dxa"/>
              <w:bottom w:w="70" w:type="dxa"/>
              <w:end w:w="90" w:type="dxa"/>
            </w:tcMar>
          </w:tcPr>
          <w:p>
            <w:pPr>
              <w:spacing w:after="0" w:line="240" w:lineRule="auto"/>
            </w:pPr>
            <w:r>
              <w:rPr>
                <w:rFonts w:ascii="Aptos" w:hAnsi="Aptos" w:eastAsia="Aptos"/>
                <w:b w:val="0"/>
                <w:color w:val="2D3742"/>
                <w:sz w:val="17"/>
              </w:rPr>
              <w:t>Berkomunikasi dengan empati dan jelas, membangun relasi yang sehat, dan bekerja sama dengan warga sekolah.</w:t>
            </w:r>
          </w:p>
        </w:tc>
        <w:tc>
          <w:tcPr>
            <w:tcW w:type="dxa" w:w="4176"/>
            <w:vAlign w:val="top"/>
            <w:tcMar>
              <w:top w:w="70" w:type="dxa"/>
              <w:start w:w="90" w:type="dxa"/>
              <w:bottom w:w="70" w:type="dxa"/>
              <w:end w:w="90" w:type="dxa"/>
            </w:tcMar>
          </w:tcPr>
          <w:p>
            <w:pPr>
              <w:spacing w:after="0" w:line="240" w:lineRule="auto"/>
            </w:pPr>
            <w:r>
              <w:rPr>
                <w:rFonts w:ascii="Aptos" w:hAnsi="Aptos" w:eastAsia="Aptos"/>
                <w:b w:val="0"/>
                <w:color w:val="2D3742"/>
                <w:sz w:val="17"/>
              </w:rPr>
              <w:t>Memberi ruang bertanya, menghindari komentar yang mempermalukan, dan mendiskusikan kebutuhan murid secara profesional.</w:t>
            </w:r>
          </w:p>
        </w:tc>
      </w:tr>
      <w:tr>
        <w:trPr>
          <w:cantSplit/>
        </w:trPr>
        <w:tc>
          <w:tcPr>
            <w:tcW w:type="dxa" w:w="1872"/>
            <w:vAlign w:val="top"/>
            <w:shd w:fill="F3F6F8"/>
            <w:tcMar>
              <w:top w:w="70" w:type="dxa"/>
              <w:start w:w="90" w:type="dxa"/>
              <w:bottom w:w="70" w:type="dxa"/>
              <w:end w:w="90" w:type="dxa"/>
            </w:tcMar>
          </w:tcPr>
          <w:p>
            <w:pPr>
              <w:spacing w:after="0" w:line="240" w:lineRule="auto"/>
            </w:pPr>
            <w:r>
              <w:rPr>
                <w:rFonts w:ascii="Aptos" w:hAnsi="Aptos" w:eastAsia="Aptos"/>
                <w:b w:val="0"/>
                <w:color w:val="2D3742"/>
                <w:sz w:val="17"/>
              </w:rPr>
              <w:t>Profesional</w:t>
            </w:r>
          </w:p>
        </w:tc>
        <w:tc>
          <w:tcPr>
            <w:tcW w:type="dxa" w:w="4032"/>
            <w:vAlign w:val="top"/>
            <w:shd w:fill="F3F6F8"/>
            <w:tcMar>
              <w:top w:w="70" w:type="dxa"/>
              <w:start w:w="90" w:type="dxa"/>
              <w:bottom w:w="70" w:type="dxa"/>
              <w:end w:w="90" w:type="dxa"/>
            </w:tcMar>
          </w:tcPr>
          <w:p>
            <w:pPr>
              <w:spacing w:after="0" w:line="240" w:lineRule="auto"/>
            </w:pPr>
            <w:r>
              <w:rPr>
                <w:rFonts w:ascii="Aptos" w:hAnsi="Aptos" w:eastAsia="Aptos"/>
                <w:b w:val="0"/>
                <w:color w:val="2D3742"/>
                <w:sz w:val="17"/>
              </w:rPr>
              <w:t>Menguasai materi Informatika, memahami perkembangan teknologi, serta terus mengembangkan pengetahuan dan keterampilan.</w:t>
            </w:r>
          </w:p>
        </w:tc>
        <w:tc>
          <w:tcPr>
            <w:tcW w:type="dxa" w:w="4176"/>
            <w:vAlign w:val="top"/>
            <w:shd w:fill="F3F6F8"/>
            <w:tcMar>
              <w:top w:w="70" w:type="dxa"/>
              <w:start w:w="90" w:type="dxa"/>
              <w:bottom w:w="70" w:type="dxa"/>
              <w:end w:w="90" w:type="dxa"/>
            </w:tcMar>
          </w:tcPr>
          <w:p>
            <w:pPr>
              <w:spacing w:after="0" w:line="240" w:lineRule="auto"/>
            </w:pPr>
            <w:r>
              <w:rPr>
                <w:rFonts w:ascii="Aptos" w:hAnsi="Aptos" w:eastAsia="Aptos"/>
                <w:b w:val="0"/>
                <w:color w:val="2D3742"/>
                <w:sz w:val="17"/>
              </w:rPr>
              <w:t>Melakukan persiapan materi, praktik teknis, membaca sumber tepercaya, dan mengevaluasi akurasi media pembelajaran.</w:t>
            </w:r>
          </w:p>
        </w:tc>
      </w:tr>
    </w:tbl>
    <w:p>
      <w:r>
        <w:t>Landasan: Undang-Undang Republik Indonesia Nomor 14 Tahun 2005 tentang Guru dan Dosen, Pasal 10, yang menyebut kompetensi pedagogik, kepribadian, sosial, dan profesional sebagai kompetensi guru.</w:t>
      </w:r>
    </w:p>
    <w:p>
      <w:pPr>
        <w:pStyle w:val="Heading1"/>
      </w:pPr>
      <w:r>
        <w:t>Arah Pengembangan Jangka Panjang</w:t>
      </w:r>
    </w:p>
    <w:p>
      <w:pPr>
        <w:spacing w:after="100"/>
      </w:pPr>
      <w:r>
        <w:t>Saya ingin mengembangkan Ruang Informatika SMA sebagai sarana pendukung pembelajaran yang dapat digunakan lintas kelas dan lintas topik setelah saya lulus PPG. Platform ini bukan pengganti peran guru atau interaksi langsung di kelas, melainkan sarana untuk menyusun alur belajar yang konsisten, memberi kesempatan belajar ulang, menyediakan aktivitas yang bervariasi, dan membantu guru membaca bukti belajar. Pengembangannya akan mengikuti kebutuhan kurikulum, kesiapan murid, fasilitas sekolah, serta prinsip perlindungan data.</w:t>
      </w:r>
    </w:p>
    <w:p>
      <w:pPr/>
      <w:r>
        <w:t>Keterkaitan dengan SDGs. Arah pengembangan ini terutama selaras dengan SDG 4 (Pendidikan Berkualitas), melalui penguatan keterampilan digital dan pembelajaran yang memperhatikan kebutuhan murid; SDG 9 (Industri, Inovasi, dan Infrastruktur), melalui pemanfaatan teknologi untuk bernalar dan mencipta; serta SDG 10 (Berkurangnya Kesenjangan), melalui materi beragam dan dukungan yang adil bagi murid dengan kesiapan maupun akses perangkat berbeda. Keselarasan ini menjadi prinsip desain yang perlu diwujudkan dan dievaluasi, bukan klaim bahwa target SDGs telah tercapai.</w:t>
      </w:r>
    </w:p>
    <w:p>
      <w:pPr>
        <w:spacing w:after="100"/>
      </w:pPr>
      <w:r>
        <w:t>Komitmen tersebut mempertemukan empat kompetensi guru: pedagogik melalui rancangan kegiatan dan asesmen; kepribadian melalui tanggung jawab dan refleksi; sosial melalui komunikasi dan forum yang menghargai murid; serta profesional melalui penguasaan konten Informatika dan pemanfaatan teknologi yang tepat guna.</w:t>
      </w:r>
    </w:p>
    <w:sectPr w:rsidR="00FC693F" w:rsidRPr="0006063C" w:rsidSect="00034616">
      <w:headerReference w:type="default" r:id="rId9"/>
      <w:footerReference w:type="default" r:id="rId10"/>
      <w:pgSz w:w="12240" w:h="15840"/>
      <w:pgMar w:top="792" w:right="1123" w:bottom="74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 xml:space="preserve">LK 1 - Identifikasi Diri  |  Yadi Hapriadi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A6978"/>
        <w:sz w:val="16"/>
      </w:rPr>
      <w:t>SEMINAR PENDIDIKAN PROFESI GURU  |  PPG INFORMATIKA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eastAsia="Aptos"/>
      <w:color w:val="2D374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eastAsia="Aptos Display"/>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eastAsia="Aptos"/>
      <w:b/>
      <w:bCs/>
      <w:color w:val="246B75"/>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eastAsia="Aptos Display"/>
      <w:b/>
      <w:color w:val="17365D"/>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LK 1 Identifikasi Diri - Versi Mendalam</dc:title>
  <dc:subject>Seminar Pendidikan Profesi Guru - PPG Informatika</dc:subject>
  <dc:creator>Yadi Hapriadi</dc:creator>
  <cp:keywords/>
  <dc:description>generated by python-docx</dc:description>
  <cp:lastModifiedBy/>
  <cp:revision>1</cp:revision>
  <dcterms:created xsi:type="dcterms:W3CDTF">2013-12-23T23:15:00Z</dcterms:created>
  <dcterms:modified xsi:type="dcterms:W3CDTF">2013-12-23T23:15:00Z</dcterms:modified>
  <cp:category/>
</cp:coreProperties>
</file>