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6B75"/>
          <w:sz w:val="22"/>
        </w:rPr>
        <w:t>LEMBAR KERJA 2</w:t>
      </w:r>
    </w:p>
    <w:p>
      <w:pPr>
        <w:pStyle w:val="Title"/>
        <w:jc w:val="center"/>
      </w:pPr>
      <w:r>
        <w:t>REFLEKSI PENGALAMAN BELAJAR</w:t>
        <w:br/>
        <w:t>SEMESTER II</w:t>
      </w:r>
    </w:p>
    <w:p>
      <w:pPr>
        <w:jc w:val="center"/>
      </w:pPr>
      <w:r>
        <w:rPr>
          <w:i/>
          <w:color w:val="5A6978"/>
          <w:sz w:val="20"/>
        </w:rPr>
        <w:t>Model Refleksi 4C, Analisis Artefak, dan Kaitan Praktis</w:t>
      </w:r>
    </w:p>
    <w:tbl>
      <w:tblPr>
        <w:tblW w:type="auto" w:w="0"/>
        <w:jc w:val="center"/>
        <w:tblLayout w:type="fixed"/>
        <w:tblLook w:firstColumn="1" w:firstRow="1" w:lastColumn="0" w:lastRow="0" w:noHBand="0" w:noVBand="1" w:val="04A0"/>
      </w:tblPr>
      <w:tblGrid>
        <w:gridCol w:w="2016"/>
        <w:gridCol w:w="7920"/>
      </w:tblGrid>
      <w:tr>
        <w:tc>
          <w:tcPr>
            <w:tcW w:type="dxa" w:w="4997"/>
            <w:shd w:fill="E7F0F2"/>
            <w:tcMar>
              <w:top w:w="75" w:type="dxa"/>
              <w:start w:w="100" w:type="dxa"/>
              <w:bottom w:w="75" w:type="dxa"/>
              <w:end w:w="100" w:type="dxa"/>
            </w:tcMar>
            <w:vAlign w:val="center"/>
          </w:tcPr>
          <w:p>
            <w:pPr>
              <w:spacing w:after="0"/>
            </w:pPr>
            <w:r>
              <w:rPr>
                <w:b/>
                <w:sz w:val="19"/>
              </w:rPr>
              <w:t>Nama</w:t>
            </w:r>
          </w:p>
        </w:tc>
        <w:tc>
          <w:tcPr>
            <w:tcW w:type="dxa" w:w="4997"/>
            <w:tcMar>
              <w:top w:w="75" w:type="dxa"/>
              <w:start w:w="100" w:type="dxa"/>
              <w:bottom w:w="75" w:type="dxa"/>
              <w:end w:w="100" w:type="dxa"/>
            </w:tcMar>
            <w:vAlign w:val="center"/>
          </w:tcPr>
          <w:p>
            <w:pPr>
              <w:spacing w:after="0"/>
            </w:pPr>
            <w:r>
              <w:rPr>
                <w:sz w:val="19"/>
              </w:rPr>
              <w:t>Yadi Hapriadi</w:t>
            </w:r>
          </w:p>
        </w:tc>
      </w:tr>
      <w:tr>
        <w:tc>
          <w:tcPr>
            <w:tcW w:type="dxa" w:w="4997"/>
            <w:shd w:fill="E7F0F2"/>
            <w:tcMar>
              <w:top w:w="75" w:type="dxa"/>
              <w:start w:w="100" w:type="dxa"/>
              <w:bottom w:w="75" w:type="dxa"/>
              <w:end w:w="100" w:type="dxa"/>
            </w:tcMar>
            <w:vAlign w:val="center"/>
          </w:tcPr>
          <w:p>
            <w:pPr>
              <w:spacing w:after="0"/>
            </w:pPr>
            <w:r>
              <w:rPr>
                <w:b/>
                <w:sz w:val="19"/>
              </w:rPr>
              <w:t>NIM</w:t>
            </w:r>
          </w:p>
        </w:tc>
        <w:tc>
          <w:tcPr>
            <w:tcW w:type="dxa" w:w="4997"/>
            <w:tcMar>
              <w:top w:w="75" w:type="dxa"/>
              <w:start w:w="100" w:type="dxa"/>
              <w:bottom w:w="75" w:type="dxa"/>
              <w:end w:w="100" w:type="dxa"/>
            </w:tcMar>
            <w:vAlign w:val="center"/>
          </w:tcPr>
          <w:p>
            <w:pPr>
              <w:spacing w:after="0"/>
            </w:pPr>
            <w:r>
              <w:rPr>
                <w:sz w:val="19"/>
              </w:rPr>
              <w:t>2531094</w:t>
            </w:r>
          </w:p>
        </w:tc>
      </w:tr>
      <w:tr>
        <w:tc>
          <w:tcPr>
            <w:tcW w:type="dxa" w:w="4997"/>
            <w:shd w:fill="E7F0F2"/>
            <w:tcMar>
              <w:top w:w="75" w:type="dxa"/>
              <w:start w:w="100" w:type="dxa"/>
              <w:bottom w:w="75" w:type="dxa"/>
              <w:end w:w="100" w:type="dxa"/>
            </w:tcMar>
            <w:vAlign w:val="center"/>
          </w:tcPr>
          <w:p>
            <w:pPr>
              <w:spacing w:after="0"/>
            </w:pPr>
            <w:r>
              <w:rPr>
                <w:b/>
                <w:sz w:val="19"/>
              </w:rPr>
              <w:t>Program Studi</w:t>
            </w:r>
          </w:p>
        </w:tc>
        <w:tc>
          <w:tcPr>
            <w:tcW w:type="dxa" w:w="4997"/>
            <w:tcMar>
              <w:top w:w="75" w:type="dxa"/>
              <w:start w:w="100" w:type="dxa"/>
              <w:bottom w:w="75" w:type="dxa"/>
              <w:end w:w="100" w:type="dxa"/>
            </w:tcMar>
            <w:vAlign w:val="center"/>
          </w:tcPr>
          <w:p>
            <w:pPr>
              <w:spacing w:after="0"/>
            </w:pPr>
            <w:r>
              <w:rPr>
                <w:sz w:val="19"/>
              </w:rPr>
              <w:t>PPG Informatika - Universitas Pendidikan Indonesia</w:t>
            </w:r>
          </w:p>
        </w:tc>
      </w:tr>
    </w:tbl>
    <w:p>
      <w:pPr>
        <w:pStyle w:val="Heading1"/>
      </w:pPr>
      <w:r>
        <w:t>Pengantar</w:t>
      </w:r>
    </w:p>
    <w:p>
      <w:r>
        <w:rPr>
          <w:rFonts w:ascii="Aptos" w:hAnsi="Aptos" w:eastAsia="Aptos"/>
        </w:rPr>
        <w:t>Refleksi Semester II ini menghubungkan konsep perkuliahan dengan pengalaman PPL dan proyek yang relevan. Setiap mata kuliah ditinjau melalui Connection, Challenge, Concept, dan Change, lalu dianalisis melalui artefak yang mendukung argumen. Saya membedakan pengalaman yang benar-benar terjadi dari rancangan yang belum diuji. Fokus refleksi adalah bagaimana pengalaman tersebut membentuk kompetensi pedagogik, kepribadian, sosial, dan profesional serta menghasilkan keputusan perbaikan yang konkret.</w:t>
      </w:r>
    </w:p>
    <w:p>
      <w:pPr>
        <w:pStyle w:val="Heading1"/>
      </w:pPr>
      <w:r>
        <w:t>1. Pembelajaran Sosial Emosional (PSE)</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90" w:type="dxa"/>
              <w:start w:w="90" w:type="dxa"/>
              <w:bottom w:w="90" w:type="dxa"/>
              <w:end w:w="90" w:type="dxa"/>
            </w:tcMar>
            <w:vAlign w:val="center"/>
          </w:tcPr>
          <w:p>
            <w:r>
              <w:rPr>
                <w:b/>
                <w:color w:val="FFFFFF"/>
                <w:sz w:val="16"/>
              </w:rPr>
              <w:t>Tahap</w:t>
            </w:r>
          </w:p>
        </w:tc>
        <w:tc>
          <w:tcPr>
            <w:tcW w:type="dxa" w:w="4997"/>
            <w:shd w:fill="17365D"/>
            <w:tcMar>
              <w:top w:w="90" w:type="dxa"/>
              <w:start w:w="90" w:type="dxa"/>
              <w:bottom w:w="90" w:type="dxa"/>
              <w:end w:w="90" w:type="dxa"/>
            </w:tcMar>
            <w:vAlign w:val="center"/>
          </w:tcPr>
          <w:p>
            <w:r>
              <w:rPr>
                <w:b/>
                <w:color w:val="FFFFFF"/>
                <w:sz w:val="16"/>
              </w:rPr>
              <w:t>Refleksi</w:t>
            </w:r>
          </w:p>
        </w:tc>
      </w:tr>
      <w:tr>
        <w:trPr>
          <w:cantSplit/>
        </w:trPr>
        <w:tc>
          <w:tcPr>
            <w:tcW w:type="dxa" w:w="1800"/>
            <w:tcMar>
              <w:top w:w="75" w:type="dxa"/>
              <w:start w:w="100" w:type="dxa"/>
              <w:bottom w:w="75" w:type="dxa"/>
              <w:end w:w="100" w:type="dxa"/>
            </w:tcMar>
            <w:vAlign w:val="top"/>
          </w:tcPr>
          <w:p>
            <w:pPr>
              <w:spacing w:after="20" w:line="240" w:lineRule="auto"/>
            </w:pPr>
            <w:r>
              <w:rPr>
                <w:sz w:val="16"/>
              </w:rPr>
              <w:t>Connection</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Pemahaman saya tentang PSE terhubung dengan pengalaman sebagai murid di SMPN 4 Garut. Pak Asep Kusdian saya ingat sebagai guru yang suportif dan memotivasi, sedangkan Bu Nunung Zamilah tegas tetapi tetap membuat suasana kelas nyaman. Pengalaman itu menunjukkan bahwa rasa aman dan kedisiplinan dapat berjalan bersama. Dalam pembelajaran Informatika, hal ini penting karena murid dapat mengalami bingung atau frustrasi ketika harus menelusuri langkah algoritma atau ketika hasil praktik berbeda dari yang diharapkan.</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Challenge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Tantangan bagi guru adalah mengelola respons diri ketika kelas memiliki kebutuhan yang berbeda, menjaga batas yang jelas tanpa mempermalukan murid, serta memperhatikan murid yang tidak selalu aktif berbicara. Dalam kerja kelompok, suara murid yang paling percaya diri dapat lebih dominan, sementara murid yang lain mungkin ikut menyelesaikan tugas tetapi belum tentu merasa dipahami atau menguasai materi secara mandiri. PSE perlu hadir dalam interaksi nyata, bukan berhenti sebagai istilah pada modul.</w:t>
            </w:r>
          </w:p>
        </w:tc>
      </w:tr>
      <w:tr>
        <w:trPr>
          <w:cantSplit/>
        </w:trPr>
        <w:tc>
          <w:tcPr>
            <w:tcW w:type="dxa" w:w="1800"/>
            <w:tcMar>
              <w:top w:w="75" w:type="dxa"/>
              <w:start w:w="100" w:type="dxa"/>
              <w:bottom w:w="75" w:type="dxa"/>
              <w:end w:w="100" w:type="dxa"/>
            </w:tcMar>
            <w:vAlign w:val="top"/>
          </w:tcPr>
          <w:p>
            <w:pPr>
              <w:spacing w:after="20" w:line="240" w:lineRule="auto"/>
            </w:pPr>
            <w:r>
              <w:rPr>
                <w:sz w:val="16"/>
              </w:rPr>
              <w:t>Concept</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PSE mencakup kesadaran diri, pengelolaan diri, kesadaran sosial, keterampilan berelasi, dan pengambilan keputusan yang bertanggung jawab. Dalam konteks sekolah, kesejahteraan murid juga dipengaruhi rasa aman, kualitas hubungan, kejelasan aturan, dan kesempatan berpartisipasi. Guru yang mampu mengambil jeda sebelum merespons masalah dapat lebih adil dalam menilai situasi. Ketika murid melakukan kesalahan, respons yang menghargai membantu mereka memperbaiki proses tanpa merasa dipermalukan.</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Saya ingin memadukan PSE dengan kegiatan belajar, misalnya dengan memberi waktu berpikir sebelum menjawab, menyepakati aturan diskusi, membagi peran kelompok, dan meminta murid menjelaskan alasan dengan santun. Pada aktivitas yang masih berupa rancangan, seperti check-in emosi atau refleksi sosial emosional, saya akan menganggapnya sebagai strategi yang perlu diuji, bukan bukti praktik yang sudah berhasil. Setelah diterapkan, saya perlu mengamati siapa yang berpartisipasi, bagaimana kelompok menanggapi perbedaan, dan apakah murid merasa aman untuk meminta bantuan.</w:t>
            </w:r>
          </w:p>
        </w:tc>
      </w:tr>
    </w:tbl>
    <w:p>
      <w:pPr>
        <w:pStyle w:val="Heading2"/>
      </w:pPr>
      <w:r>
        <w:t>Analisis Artefak</w:t>
      </w:r>
    </w:p>
    <w:tbl>
      <w:tblPr>
        <w:tblW w:type="auto" w:w="0"/>
        <w:jc w:val="center"/>
        <w:tblLayout w:type="fixed"/>
        <w:tblLook w:firstColumn="1" w:firstRow="1" w:lastColumn="0" w:lastRow="0" w:noHBand="0" w:noVBand="1" w:val="04A0"/>
      </w:tblPr>
      <w:tblGrid>
        <w:gridCol w:w="3600"/>
        <w:gridCol w:w="6336"/>
      </w:tblGrid>
      <w:tr>
        <w:trPr>
          <w:tblHeader w:val="true"/>
        </w:trPr>
        <w:tc>
          <w:tcPr>
            <w:tcW w:type="dxa" w:w="4997"/>
            <w:shd w:fill="17365D"/>
            <w:tcMar>
              <w:top w:w="90" w:type="dxa"/>
              <w:start w:w="90" w:type="dxa"/>
              <w:bottom w:w="90" w:type="dxa"/>
              <w:end w:w="90" w:type="dxa"/>
            </w:tcMar>
            <w:vAlign w:val="center"/>
          </w:tcPr>
          <w:p>
            <w:r>
              <w:rPr>
                <w:b/>
                <w:color w:val="FFFFFF"/>
                <w:sz w:val="17"/>
              </w:rPr>
              <w:t>Artefak</w:t>
            </w:r>
          </w:p>
        </w:tc>
        <w:tc>
          <w:tcPr>
            <w:tcW w:type="dxa" w:w="4997"/>
            <w:shd w:fill="17365D"/>
            <w:tcMar>
              <w:top w:w="90" w:type="dxa"/>
              <w:start w:w="90" w:type="dxa"/>
              <w:bottom w:w="90" w:type="dxa"/>
              <w:end w:w="90" w:type="dxa"/>
            </w:tcMar>
            <w:vAlign w:val="center"/>
          </w:tcPr>
          <w:p>
            <w:r>
              <w:rPr>
                <w:b/>
                <w:color w:val="FFFFFF"/>
                <w:sz w:val="17"/>
              </w:rPr>
              <w:t>Alasan sebagai Bukti Dukung</w:t>
            </w:r>
          </w:p>
        </w:tc>
      </w:tr>
      <w:tr>
        <w:trPr>
          <w:cantSplit/>
        </w:trPr>
        <w:tc>
          <w:tcPr>
            <w:tcW w:type="dxa" w:w="3600"/>
            <w:tcMar>
              <w:top w:w="75" w:type="dxa"/>
              <w:start w:w="100" w:type="dxa"/>
              <w:bottom w:w="75" w:type="dxa"/>
              <w:end w:w="100" w:type="dxa"/>
            </w:tcMar>
            <w:vAlign w:val="top"/>
          </w:tcPr>
          <w:p>
            <w:pPr>
              <w:spacing w:after="0" w:line="240" w:lineRule="auto"/>
            </w:pPr>
            <w:r>
              <w:rPr>
                <w:rFonts w:ascii="Aptos" w:hAnsi="Aptos" w:eastAsia="Aptos"/>
                <w:b w:val="0"/>
                <w:color w:val="2D3742"/>
                <w:sz w:val="16"/>
              </w:rPr>
              <w:t>LK 4.1 Refleksi Diri - Pengantar School Well-Being</w:t>
            </w:r>
          </w:p>
        </w:tc>
        <w:tc>
          <w:tcPr>
            <w:tcW w:type="dxa" w:w="6336"/>
            <w:tcMar>
              <w:top w:w="75" w:type="dxa"/>
              <w:start w:w="100" w:type="dxa"/>
              <w:bottom w:w="75" w:type="dxa"/>
              <w:end w:w="100" w:type="dxa"/>
            </w:tcMar>
            <w:vAlign w:val="top"/>
          </w:tcPr>
          <w:p>
            <w:pPr>
              <w:spacing w:after="0" w:line="240" w:lineRule="auto"/>
            </w:pPr>
            <w:r>
              <w:rPr>
                <w:rFonts w:ascii="Aptos" w:hAnsi="Aptos" w:eastAsia="Aptos"/>
                <w:b w:val="0"/>
                <w:color w:val="2D3742"/>
                <w:sz w:val="16"/>
              </w:rPr>
              <w:t>Artefak ini mendukung pandangan saya tentang lingkungan sekolah yang positif, pengalaman dengan guru yang membekas, dan pentingnya keseimbangan disiplin serta rasa aman. Bagian refleksi menunjukkan kaitan antara pengalaman personal dan nilai yang ingin dibawa ke kelas.</w:t>
            </w:r>
          </w:p>
        </w:tc>
      </w:tr>
      <w:tr>
        <w:trPr>
          <w:cantSplit/>
        </w:trPr>
        <w:tc>
          <w:tcPr>
            <w:tcW w:type="dxa" w:w="3600"/>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Rancangan integrasi PSE pada aktivitas Sorting</w:t>
            </w:r>
          </w:p>
        </w:tc>
        <w:tc>
          <w:tcPr>
            <w:tcW w:type="dxa" w:w="63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Artefak ini memperlihatkan bagaimana pengelolaan frustrasi, peran kelompok, komunikasi santun, dan refleksi direncanakan bersama aktivitas algoritma. Artefak ini adalah bukti desain; setiap langkah yang belum terkonfirmasi pelaksanaannya tidak ditulis sebagai kejadian yang sudah terjadi.</w:t>
            </w:r>
          </w:p>
        </w:tc>
      </w:tr>
    </w:tbl>
    <w:p>
      <w:pPr>
        <w:pStyle w:val="Heading2"/>
      </w:pPr>
      <w:r>
        <w:t>Kaitan Praktis dan Perubahan</w:t>
      </w:r>
    </w:p>
    <w:p>
      <w:r>
        <w:rPr>
          <w:rFonts w:ascii="Aptos" w:hAnsi="Aptos" w:eastAsia="Aptos"/>
        </w:rPr>
        <w:t>Kaitan praktis dan kompetensi: PSE mendukung kompetensi kepribadian melalui pengelolaan emosi serta keteladanan, kompetensi sosial melalui komunikasi dan relasi, dan kompetensi pedagogik melalui pengelolaan kelas yang mendukung belajar. Indikatornya bukan sekadar kelas tenang, melainkan murid mampu bertanya, bekerja sama, menerima umpan balik, dan kembali mengerjakan tugas setelah mengalami kesulitan.</w:t>
      </w:r>
    </w:p>
    <w:p>
      <w:pPr>
        <w:pStyle w:val="Heading1"/>
      </w:pPr>
      <w:r>
        <w:t>2. Pembelajaran Mendalam dan Asesmen Lanjut</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90" w:type="dxa"/>
              <w:start w:w="90" w:type="dxa"/>
              <w:bottom w:w="90" w:type="dxa"/>
              <w:end w:w="90" w:type="dxa"/>
            </w:tcMar>
            <w:vAlign w:val="center"/>
          </w:tcPr>
          <w:p>
            <w:r>
              <w:rPr>
                <w:b/>
                <w:color w:val="FFFFFF"/>
                <w:sz w:val="16"/>
              </w:rPr>
              <w:t>Tahap</w:t>
            </w:r>
          </w:p>
        </w:tc>
        <w:tc>
          <w:tcPr>
            <w:tcW w:type="dxa" w:w="4997"/>
            <w:shd w:fill="17365D"/>
            <w:tcMar>
              <w:top w:w="90" w:type="dxa"/>
              <w:start w:w="90" w:type="dxa"/>
              <w:bottom w:w="90" w:type="dxa"/>
              <w:end w:w="90" w:type="dxa"/>
            </w:tcMar>
            <w:vAlign w:val="center"/>
          </w:tcPr>
          <w:p>
            <w:r>
              <w:rPr>
                <w:b/>
                <w:color w:val="FFFFFF"/>
                <w:sz w:val="16"/>
              </w:rPr>
              <w:t>Refleksi</w:t>
            </w:r>
          </w:p>
        </w:tc>
      </w:tr>
      <w:tr>
        <w:trPr>
          <w:cantSplit/>
        </w:trPr>
        <w:tc>
          <w:tcPr>
            <w:tcW w:type="dxa" w:w="1800"/>
            <w:tcMar>
              <w:top w:w="75" w:type="dxa"/>
              <w:start w:w="100" w:type="dxa"/>
              <w:bottom w:w="75" w:type="dxa"/>
              <w:end w:w="100" w:type="dxa"/>
            </w:tcMar>
            <w:vAlign w:val="top"/>
          </w:tcPr>
          <w:p>
            <w:pPr>
              <w:spacing w:after="20" w:line="240" w:lineRule="auto"/>
            </w:pPr>
            <w:r>
              <w:rPr>
                <w:sz w:val="16"/>
              </w:rPr>
              <w:t>Connection</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Pengalaman saya bekerja di bidang media sosial dan konten kreatif terhubung dengan pembelajaran Informatika yang menuntut murid memahami konsep sekaligus menghasilkan karya. Dalam proyek video klip di kelas X-C, murid bergerak melalui kegiatan perencanaan, pembagian peran, produksi, editing, quality control, presentasi, dan refleksi. Proyek memberi konteks autentik untuk menggunakan keterampilan digital, namun prosesnya juga perlu membantu murid memahami alasan di balik keputusan kreatif dan teknis.</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Challenge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Tantangannya adalah membedakan keterlibatan yang terlihat dari pencapaian belajar yang benar-benar terjadi. Video yang menarik belum otomatis menunjukkan bahwa setiap murid memahami etika kreator, komposisi shot, editing, atau publikasi bertanggung jawab. Demikian pula, penilaian kelompok berisiko menutupi kontribusi dan penguasaan individu. Tanpa kriteria yang jelas dan bukti dari beberapa tahap, penilaian dapat terlalu berpusat pada produk akhir.</w:t>
            </w:r>
          </w:p>
        </w:tc>
      </w:tr>
      <w:tr>
        <w:trPr>
          <w:cantSplit/>
        </w:trPr>
        <w:tc>
          <w:tcPr>
            <w:tcW w:type="dxa" w:w="1800"/>
            <w:tcMar>
              <w:top w:w="75" w:type="dxa"/>
              <w:start w:w="100" w:type="dxa"/>
              <w:bottom w:w="75" w:type="dxa"/>
              <w:end w:w="100" w:type="dxa"/>
            </w:tcMar>
            <w:vAlign w:val="top"/>
          </w:tcPr>
          <w:p>
            <w:pPr>
              <w:spacing w:after="20" w:line="240" w:lineRule="auto"/>
            </w:pPr>
            <w:r>
              <w:rPr>
                <w:sz w:val="16"/>
              </w:rPr>
              <w:t>Concept</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Pembelajaran mendalam perlu menghubungkan konsep dengan penerapan yang bermakna, keterlibatan sadar, dan pengalaman belajar yang menyenangkan. Asesmen perlu diselaraskan dengan tujuan: proses dapat dipantau lewat LKPD dan observasi; pemahaman konsep lewat pertanyaan atau tes; keterampilan lewat produk dan demonstrasi; sedangkan kemampuan menerima masukan dapat dilihat melalui revisi serta refleksi. Beragam bukti lebih informatif daripada mengandalkan satu produk atau satu nilai.</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Dalam proyek selanjutnya, saya akan menjelaskan kriteria keberhasilan sebelum murid mulai bekerja, menyimpan bukti proses tiap tahap, dan membedakan skor kelompok dari bukti kontribusi atau pemahaman individu. Saya akan memberi umpan balik saat karya masih dapat diperbaiki, bukan hanya setelah produk selesai. Setelah kegiatan, saya akan meninjau apakah tujuan, aktivitas, dan asesmen benar-benar selaras serta menentukan bagian materi yang perlu diajarkan ulang atau diperdalam.</w:t>
            </w:r>
          </w:p>
        </w:tc>
      </w:tr>
    </w:tbl>
    <w:p>
      <w:pPr>
        <w:pStyle w:val="Heading2"/>
      </w:pPr>
      <w:r>
        <w:t>Analisis Artefak</w:t>
      </w:r>
    </w:p>
    <w:tbl>
      <w:tblPr>
        <w:tblW w:type="auto" w:w="0"/>
        <w:jc w:val="center"/>
        <w:tblLayout w:type="fixed"/>
        <w:tblLook w:firstColumn="1" w:firstRow="1" w:lastColumn="0" w:lastRow="0" w:noHBand="0" w:noVBand="1" w:val="04A0"/>
      </w:tblPr>
      <w:tblGrid>
        <w:gridCol w:w="3600"/>
        <w:gridCol w:w="6336"/>
      </w:tblGrid>
      <w:tr>
        <w:trPr>
          <w:tblHeader w:val="true"/>
        </w:trPr>
        <w:tc>
          <w:tcPr>
            <w:tcW w:type="dxa" w:w="4997"/>
            <w:shd w:fill="17365D"/>
            <w:tcMar>
              <w:top w:w="90" w:type="dxa"/>
              <w:start w:w="90" w:type="dxa"/>
              <w:bottom w:w="90" w:type="dxa"/>
              <w:end w:w="90" w:type="dxa"/>
            </w:tcMar>
            <w:vAlign w:val="center"/>
          </w:tcPr>
          <w:p>
            <w:r>
              <w:rPr>
                <w:b/>
                <w:color w:val="FFFFFF"/>
                <w:sz w:val="17"/>
              </w:rPr>
              <w:t>Artefak</w:t>
            </w:r>
          </w:p>
        </w:tc>
        <w:tc>
          <w:tcPr>
            <w:tcW w:type="dxa" w:w="4997"/>
            <w:shd w:fill="17365D"/>
            <w:tcMar>
              <w:top w:w="90" w:type="dxa"/>
              <w:start w:w="90" w:type="dxa"/>
              <w:bottom w:w="90" w:type="dxa"/>
              <w:end w:w="90" w:type="dxa"/>
            </w:tcMar>
            <w:vAlign w:val="center"/>
          </w:tcPr>
          <w:p>
            <w:r>
              <w:rPr>
                <w:b/>
                <w:color w:val="FFFFFF"/>
                <w:sz w:val="17"/>
              </w:rPr>
              <w:t>Alasan sebagai Bukti Dukung</w:t>
            </w:r>
          </w:p>
        </w:tc>
      </w:tr>
      <w:tr>
        <w:trPr>
          <w:cantSplit/>
        </w:trPr>
        <w:tc>
          <w:tcPr>
            <w:tcW w:type="dxa" w:w="3600"/>
            <w:tcMar>
              <w:top w:w="75" w:type="dxa"/>
              <w:start w:w="100" w:type="dxa"/>
              <w:bottom w:w="75" w:type="dxa"/>
              <w:end w:w="100" w:type="dxa"/>
            </w:tcMar>
            <w:vAlign w:val="top"/>
          </w:tcPr>
          <w:p>
            <w:pPr>
              <w:spacing w:after="0" w:line="240" w:lineRule="auto"/>
            </w:pPr>
            <w:r>
              <w:rPr>
                <w:rFonts w:ascii="Aptos" w:hAnsi="Aptos" w:eastAsia="Aptos"/>
                <w:b w:val="0"/>
                <w:color w:val="2D3742"/>
                <w:sz w:val="16"/>
              </w:rPr>
              <w:t>Modul Ajar PjBL Pemanfaatan Media Sosial dan Kreasi Konten Digital</w:t>
            </w:r>
          </w:p>
        </w:tc>
        <w:tc>
          <w:tcPr>
            <w:tcW w:type="dxa" w:w="6336"/>
            <w:tcMar>
              <w:top w:w="75" w:type="dxa"/>
              <w:start w:w="100" w:type="dxa"/>
              <w:bottom w:w="75" w:type="dxa"/>
              <w:end w:w="100" w:type="dxa"/>
            </w:tcMar>
            <w:vAlign w:val="top"/>
          </w:tcPr>
          <w:p>
            <w:pPr>
              <w:spacing w:after="0" w:line="240" w:lineRule="auto"/>
            </w:pPr>
            <w:r>
              <w:rPr>
                <w:rFonts w:ascii="Aptos" w:hAnsi="Aptos" w:eastAsia="Aptos"/>
                <w:b w:val="0"/>
                <w:color w:val="2D3742"/>
                <w:sz w:val="16"/>
              </w:rPr>
              <w:t>Artefak ini menunjukkan alur pembelajaran berbasis proyek dari perumusan masalah, perencanaan, produksi, monitoring, pengujian hasil, hingga evaluasi pengalaman. Analisis perlu melihat apakah setiap tahap mendukung tujuan Informatika dan memberikan kesempatan belajar bagi anggota kelompok.</w:t>
            </w:r>
          </w:p>
        </w:tc>
      </w:tr>
      <w:tr>
        <w:trPr>
          <w:cantSplit/>
        </w:trPr>
        <w:tc>
          <w:tcPr>
            <w:tcW w:type="dxa" w:w="3600"/>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LKPD proyek, rubrik produk, serta instrumen pretest/posttest yang disiapkan</w:t>
            </w:r>
          </w:p>
        </w:tc>
        <w:tc>
          <w:tcPr>
            <w:tcW w:type="dxa" w:w="63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Artefak ini mendukung analisis bagaimana proses, produk, etika digital, dan pengetahuan konsep direncanakan untuk dinilai. Jika instrumen tertentu belum digunakan atau datanya tidak tersimpan, dokumen tersebut disebut sebagai rancangan instrumen, bukan hasil pengukuran yang sudah terbukti.</w:t>
            </w:r>
          </w:p>
        </w:tc>
      </w:tr>
    </w:tbl>
    <w:p>
      <w:pPr>
        <w:pStyle w:val="Heading2"/>
      </w:pPr>
      <w:r>
        <w:t>Kaitan Praktis dan Perubahan</w:t>
      </w:r>
    </w:p>
    <w:p>
      <w:r>
        <w:rPr>
          <w:rFonts w:ascii="Aptos" w:hAnsi="Aptos" w:eastAsia="Aptos"/>
        </w:rPr>
        <w:t>Kaitan praktis dan kompetensi: kompetensi pedagogik tampak pada keselarasan tujuan, aktivitas, asesmen, dan umpan balik; kompetensi profesional pada penguasaan konten digital serta etika; kompetensi sosial pada koordinasi tim dan tanggapan terhadap masukan. Kreativitas menjadi kekuatan saya, tetapi perlu disertai evaluasi yang membuktikan manfaat belajar bagi murid.</w:t>
      </w:r>
    </w:p>
    <w:p>
      <w:pPr>
        <w:pStyle w:val="Heading1"/>
      </w:pPr>
      <w:r>
        <w:t>3. Praktik Pengalaman Lapangan (PPL) Mandiri</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90" w:type="dxa"/>
              <w:start w:w="90" w:type="dxa"/>
              <w:bottom w:w="90" w:type="dxa"/>
              <w:end w:w="90" w:type="dxa"/>
            </w:tcMar>
            <w:vAlign w:val="center"/>
          </w:tcPr>
          <w:p>
            <w:r>
              <w:rPr>
                <w:b/>
                <w:color w:val="FFFFFF"/>
                <w:sz w:val="16"/>
              </w:rPr>
              <w:t>Tahap</w:t>
            </w:r>
          </w:p>
        </w:tc>
        <w:tc>
          <w:tcPr>
            <w:tcW w:type="dxa" w:w="4997"/>
            <w:shd w:fill="17365D"/>
            <w:tcMar>
              <w:top w:w="90" w:type="dxa"/>
              <w:start w:w="90" w:type="dxa"/>
              <w:bottom w:w="90" w:type="dxa"/>
              <w:end w:w="90" w:type="dxa"/>
            </w:tcMar>
            <w:vAlign w:val="center"/>
          </w:tcPr>
          <w:p>
            <w:r>
              <w:rPr>
                <w:b/>
                <w:color w:val="FFFFFF"/>
                <w:sz w:val="16"/>
              </w:rPr>
              <w:t>Refleksi</w:t>
            </w:r>
          </w:p>
        </w:tc>
      </w:tr>
      <w:tr>
        <w:trPr>
          <w:cantSplit/>
        </w:trPr>
        <w:tc>
          <w:tcPr>
            <w:tcW w:type="dxa" w:w="1800"/>
            <w:tcMar>
              <w:top w:w="75" w:type="dxa"/>
              <w:start w:w="100" w:type="dxa"/>
              <w:bottom w:w="75" w:type="dxa"/>
              <w:end w:w="100" w:type="dxa"/>
            </w:tcMar>
            <w:vAlign w:val="top"/>
          </w:tcPr>
          <w:p>
            <w:pPr>
              <w:spacing w:after="20" w:line="240" w:lineRule="auto"/>
            </w:pPr>
            <w:r>
              <w:rPr>
                <w:sz w:val="16"/>
              </w:rPr>
              <w:t>Connection</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PPL Mandiri di SMAN 24 Bandung membuat saya membandingkan rencana pembelajaran dengan kondisi nyata murid. Pada materi Microsoft Word, saya menggunakan Google Form untuk gambaran umum kesiapan belajar. Ketika pembelajaran dimulai, saya bertanya siapa yang baru pertama kali menggunakan komputer dan menemukan beberapa murid masih memerlukan bantuan pada keterampilan dasar, seperti menyalakan komputer atau menggunakan klik kanan. Pengalaman ini menunjukkan bahwa gambaran umum tidak selalu menjawab kesiapan untuk suatu tugas praktik tertentu.</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Challenge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Saya menyesuaikan pembelajaran dengan menjelaskan dasar penggunaan komputer, mendampingi murid secara individual, melibatkan teman sebaya, dan memberikan contoh ulang. Bantuan tersebut dibutuhkan, tetapi memakan waktu sehingga beberapa materi Word harus dipercepat. Di sisi lain, pembelajaran Sorting menunjukkan hasil yang baik menurut pengamatan saya: pembagian tugas kelompok berjalan, LKPD dapat diselesaikan, dan kelompok melakukan praktik serta presentasi. Dua pengalaman ini mengingatkan saya bahwa strategi yang berhasil pada suatu materi tidak otomatis dapat dipindahkan tanpa penyesuaian ke materi lain.</w:t>
            </w:r>
          </w:p>
        </w:tc>
      </w:tr>
      <w:tr>
        <w:trPr>
          <w:cantSplit/>
        </w:trPr>
        <w:tc>
          <w:tcPr>
            <w:tcW w:type="dxa" w:w="1800"/>
            <w:tcMar>
              <w:top w:w="75" w:type="dxa"/>
              <w:start w:w="100" w:type="dxa"/>
              <w:bottom w:w="75" w:type="dxa"/>
              <w:end w:w="100" w:type="dxa"/>
            </w:tcMar>
            <w:vAlign w:val="top"/>
          </w:tcPr>
          <w:p>
            <w:pPr>
              <w:spacing w:after="20" w:line="240" w:lineRule="auto"/>
            </w:pPr>
            <w:r>
              <w:rPr>
                <w:sz w:val="16"/>
              </w:rPr>
              <w:t>Concept</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Perencanaan pedagogik perlu berangkat dari tujuan, karakteristik murid, pengetahuan dan keterampilan prasyarat, serta bukti belajar yang diharapkan. Untuk Word, cek praktik singkat lebih relevan daripada hanya menanyakan pengalaman secara umum. Untuk Sorting, simulasi kartu, contoh angka, perbandingan langkah, LKPD, dan presentasi membantu membuat proses algoritma yang abstrak terlihat. Pada kedua situasi, guru tetap perlu mengumpulkan bukti pemahaman individu, mengatur waktu secara realistis, dan memberi dukungan bertahap.</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Untuk praktik berikutnya, saya akan memeriksa keterampilan dasar yang langsung diperlukan sebelum tugas utama, menyiapkan panduan visual, membagi kegiatan menjadi fondasi dan tugas inti, serta menyiapkan pengayaan bagi murid yang sudah siap. Saya akan mengatur batas waktu bantuan agar target inti tidak tergeser seluruhnya, tetapi juga tidak memaksa murid melewati prasyarat yang belum dikuasai. Setelah pembelajaran, saya akan memeriksa produk dan pemahaman individu, lalu menggunakan temuan itu untuk merevisi alokasi waktu atau panduan.</w:t>
            </w:r>
          </w:p>
        </w:tc>
      </w:tr>
    </w:tbl>
    <w:p>
      <w:pPr>
        <w:pStyle w:val="Heading2"/>
      </w:pPr>
      <w:r>
        <w:t>Analisis Artefak</w:t>
      </w:r>
    </w:p>
    <w:tbl>
      <w:tblPr>
        <w:tblW w:type="auto" w:w="0"/>
        <w:jc w:val="center"/>
        <w:tblLayout w:type="fixed"/>
        <w:tblLook w:firstColumn="1" w:firstRow="1" w:lastColumn="0" w:lastRow="0" w:noHBand="0" w:noVBand="1" w:val="04A0"/>
      </w:tblPr>
      <w:tblGrid>
        <w:gridCol w:w="3600"/>
        <w:gridCol w:w="6336"/>
      </w:tblGrid>
      <w:tr>
        <w:trPr>
          <w:tblHeader w:val="true"/>
        </w:trPr>
        <w:tc>
          <w:tcPr>
            <w:tcW w:type="dxa" w:w="4997"/>
            <w:shd w:fill="17365D"/>
            <w:tcMar>
              <w:top w:w="90" w:type="dxa"/>
              <w:start w:w="90" w:type="dxa"/>
              <w:bottom w:w="90" w:type="dxa"/>
              <w:end w:w="90" w:type="dxa"/>
            </w:tcMar>
            <w:vAlign w:val="center"/>
          </w:tcPr>
          <w:p>
            <w:r>
              <w:rPr>
                <w:b/>
                <w:color w:val="FFFFFF"/>
                <w:sz w:val="16"/>
              </w:rPr>
              <w:t>Artefak</w:t>
            </w:r>
          </w:p>
        </w:tc>
        <w:tc>
          <w:tcPr>
            <w:tcW w:type="dxa" w:w="4997"/>
            <w:shd w:fill="17365D"/>
            <w:tcMar>
              <w:top w:w="90" w:type="dxa"/>
              <w:start w:w="90" w:type="dxa"/>
              <w:bottom w:w="90" w:type="dxa"/>
              <w:end w:w="90" w:type="dxa"/>
            </w:tcMar>
            <w:vAlign w:val="center"/>
          </w:tcPr>
          <w:p>
            <w:r>
              <w:rPr>
                <w:b/>
                <w:color w:val="FFFFFF"/>
                <w:sz w:val="16"/>
              </w:rPr>
              <w:t>Alasan sebagai Bukti Dukung</w:t>
            </w:r>
          </w:p>
        </w:tc>
      </w:tr>
      <w:tr>
        <w:trPr>
          <w:cantSplit/>
        </w:trPr>
        <w:tc>
          <w:tcPr>
            <w:tcW w:type="dxa" w:w="3600"/>
            <w:tcMar>
              <w:top w:w="75" w:type="dxa"/>
              <w:start w:w="100" w:type="dxa"/>
              <w:bottom w:w="75" w:type="dxa"/>
              <w:end w:w="100" w:type="dxa"/>
            </w:tcMar>
            <w:vAlign w:val="top"/>
          </w:tcPr>
          <w:p>
            <w:pPr>
              <w:spacing w:after="0" w:line="240" w:lineRule="auto"/>
            </w:pPr>
            <w:r>
              <w:rPr>
                <w:rFonts w:ascii="Aptos" w:hAnsi="Aptos" w:eastAsia="Aptos"/>
                <w:b w:val="0"/>
                <w:color w:val="2D3742"/>
                <w:sz w:val="16"/>
              </w:rPr>
              <w:t>PPT Microsoft Word dan LKPD cover/daftar isi otomatis</w:t>
            </w:r>
          </w:p>
        </w:tc>
        <w:tc>
          <w:tcPr>
            <w:tcW w:type="dxa" w:w="6336"/>
            <w:tcMar>
              <w:top w:w="75" w:type="dxa"/>
              <w:start w:w="100" w:type="dxa"/>
              <w:bottom w:w="75" w:type="dxa"/>
              <w:end w:w="100" w:type="dxa"/>
            </w:tcMar>
            <w:vAlign w:val="top"/>
          </w:tcPr>
          <w:p>
            <w:pPr>
              <w:spacing w:after="0" w:line="240" w:lineRule="auto"/>
            </w:pPr>
            <w:r>
              <w:rPr>
                <w:rFonts w:ascii="Aptos" w:hAnsi="Aptos" w:eastAsia="Aptos"/>
                <w:b w:val="0"/>
                <w:color w:val="2D3742"/>
                <w:sz w:val="16"/>
              </w:rPr>
              <w:t>Artefak ini menunjukkan target materi, urutan penjelasan dan keterampilan yang diharapkan. Ketika dibandingkan dengan pengamatan di kelas, artefak ini membantu menjelaskan jarak antara target dokumen Word dan keterampilan komputer yang ternyata masih diperlukan beberapa murid.</w:t>
            </w:r>
          </w:p>
        </w:tc>
      </w:tr>
      <w:tr>
        <w:trPr>
          <w:cantSplit/>
        </w:trPr>
        <w:tc>
          <w:tcPr>
            <w:tcW w:type="dxa" w:w="3600"/>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LKPD Sorting dan hasil praktik/presentasi kelompok</w:t>
            </w:r>
          </w:p>
        </w:tc>
        <w:tc>
          <w:tcPr>
            <w:tcW w:type="dxa" w:w="63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Mendukung refleksi tentang penggunaan simulasi kartu dan contoh untuk menjelaskan cara kerja Insertion Sort, Selection Sort, dan Bubble Sort. Bukti yang dilaporkan adalah pembagian tugas berjalan baik, LKPD kelompok selesai dengan hasil baik, dan praktik/presentasi terlaksana. Saya tidak menyimpulkan semua murid telah menguasai setiap algoritma secara mandiri tanpa asesmen individual tambahan.</w:t>
            </w:r>
          </w:p>
        </w:tc>
      </w:tr>
    </w:tbl>
    <w:p>
      <w:pPr>
        <w:pStyle w:val="Heading2"/>
        <w:keepNext/>
      </w:pPr>
      <w:r>
        <w:t>Kaitan Praktis dan Perubahan</w:t>
      </w:r>
    </w:p>
    <w:p>
      <w:pPr>
        <w:keepLines/>
      </w:pPr>
      <w:r>
        <w:rPr>
          <w:rFonts w:ascii="Aptos" w:hAnsi="Aptos" w:eastAsia="Aptos"/>
        </w:rPr>
        <w:t>Kaitan praktis dan kompetensi: pengalaman Word menuntut kompetensi pedagogik dalam memetakan prasyarat, menyesuaikan bantuan, dan mengelola waktu; kompetensi profesional dalam merancang panduan Word yang akurat; serta kompetensi sosial dalam memberikan pendampingan dan mendorong bantuan teman sebaya secara sehat. Pengalaman Sorting mengingatkan bahwa media konkret dan peran yang jelas dapat mendukung pembelajaran, tetapi tetap perlu dipasangkan dengan cek pemahaman individu.</w:t>
      </w:r>
    </w:p>
    <w:p>
      <w:pPr>
        <w:pStyle w:val="Heading1"/>
      </w:pPr>
      <w:r>
        <w:t>4. Projek Kepemimpinan</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90" w:type="dxa"/>
              <w:start w:w="90" w:type="dxa"/>
              <w:bottom w:w="90" w:type="dxa"/>
              <w:end w:w="90" w:type="dxa"/>
            </w:tcMar>
            <w:vAlign w:val="center"/>
          </w:tcPr>
          <w:p>
            <w:r>
              <w:rPr>
                <w:b/>
                <w:color w:val="FFFFFF"/>
                <w:sz w:val="16"/>
              </w:rPr>
              <w:t>Tahap</w:t>
            </w:r>
          </w:p>
        </w:tc>
        <w:tc>
          <w:tcPr>
            <w:tcW w:type="dxa" w:w="4997"/>
            <w:shd w:fill="17365D"/>
            <w:tcMar>
              <w:top w:w="90" w:type="dxa"/>
              <w:start w:w="90" w:type="dxa"/>
              <w:bottom w:w="90" w:type="dxa"/>
              <w:end w:w="90" w:type="dxa"/>
            </w:tcMar>
            <w:vAlign w:val="center"/>
          </w:tcPr>
          <w:p>
            <w:r>
              <w:rPr>
                <w:b/>
                <w:color w:val="FFFFFF"/>
                <w:sz w:val="16"/>
              </w:rPr>
              <w:t>Refleksi</w:t>
            </w:r>
          </w:p>
        </w:tc>
      </w:tr>
      <w:tr>
        <w:trPr>
          <w:cantSplit/>
        </w:trPr>
        <w:tc>
          <w:tcPr>
            <w:tcW w:type="dxa" w:w="1800"/>
            <w:tcMar>
              <w:top w:w="75" w:type="dxa"/>
              <w:start w:w="100" w:type="dxa"/>
              <w:bottom w:w="75" w:type="dxa"/>
              <w:end w:w="100" w:type="dxa"/>
            </w:tcMar>
            <w:vAlign w:val="top"/>
          </w:tcPr>
          <w:p>
            <w:pPr>
              <w:spacing w:after="20" w:line="240" w:lineRule="auto"/>
            </w:pPr>
            <w:r>
              <w:rPr>
                <w:sz w:val="16"/>
              </w:rPr>
              <w:t>Connection</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Projek Kepemimpinan terhubung dengan pengalaman saya menggunakan teknologi untuk kebutuhan praktis. Dalam proyek Sivita di SMAN 24 Bandung, gagasan yang dikembangkan adalah sistem informasi pencatatan dan penjadwalan tamu sekolah berbasis website untuk mendukung layanan Humas. Proyek juga mencakup sosialisasi dan pendampingan kepada pihak yang akan menggunakan sistem, termasuk tim Humas dan guru piket. Pengalaman ini memperluas pemahaman bahwa solusi digital perlu disertai komunikasi, pelatihan, dan penyesuaian dengan alur kerja pengguna.</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Challenge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Tantangan proyek tidak berhenti pada membuat sistem atau menampilkan fitur. Solusi dapat gagal dimanfaatkan apabila alur tidak sesuai kebutuhan, petunjuk kurang jelas, pembagian tugas tim tidak tegas, atau pengguna tidak mendapat kesempatan bertanya. Saya juga perlu menjaga agar kegiatan sosialisasi tidak langsung dianggap sebagai bukti efektivitas sistem. Kebermanfaatan perlu ditinjau dari cara pengguna menjalankan tugas, kendala yang muncul, serta masukan setelah mencoba.</w:t>
            </w:r>
          </w:p>
        </w:tc>
      </w:tr>
      <w:tr>
        <w:trPr>
          <w:cantSplit/>
        </w:trPr>
        <w:tc>
          <w:tcPr>
            <w:tcW w:type="dxa" w:w="1800"/>
            <w:tcMar>
              <w:top w:w="75" w:type="dxa"/>
              <w:start w:w="100" w:type="dxa"/>
              <w:bottom w:w="75" w:type="dxa"/>
              <w:end w:w="100" w:type="dxa"/>
            </w:tcMar>
            <w:vAlign w:val="top"/>
          </w:tcPr>
          <w:p>
            <w:pPr>
              <w:spacing w:after="20" w:line="240" w:lineRule="auto"/>
            </w:pPr>
            <w:r>
              <w:rPr>
                <w:sz w:val="16"/>
              </w:rPr>
              <w:t>Concept</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Kepemimpinan kolaboratif mengharuskan tim menyepakati tujuan, memahami kebutuhan pemangku kepentingan, membagi tanggung jawab, berkomunikasi, mengelola waktu, dan melakukan evaluasi. Kompetensi sosial guru tampak dalam kemampuan bekerja bersama serta menjelaskan solusi dengan bahasa yang mudah diikuti; kompetensi profesional tampak dalam penggunaan pengetahuan teknologi untuk menyelesaikan kebutuhan nyata. Akuntabilitas proyek memerlukan dokumentasi keputusan dan bukti tindak lanjut, bukan hanya hasil akhir.</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Pada proyek berikutnya, saya akan memulai dari pemetaan kebutuhan pengguna dan skenario penggunaan, menyepakati pembagian tugas serta tenggat, menguji fitur sebelum sosialisasi, dan menyiapkan panduan ringkas. Saat pelatihan, saya akan meminta pengguna mencoba langkah secara langsung dan mencatat bagian yang membingungkan. Setelah sosialisasi, saya akan mengumpulkan umpan balik atau mengamati alur penggunaan untuk menetapkan perbaikan prioritas. Jika data dampak belum tersedia, saya akan menyebutnya sebagai area evaluasi, bukan menyimpulkan sistem sudah meningkatkan efektivitas layanan.</w:t>
            </w:r>
          </w:p>
        </w:tc>
      </w:tr>
    </w:tbl>
    <w:p>
      <w:pPr>
        <w:pStyle w:val="Heading2"/>
      </w:pPr>
      <w:r>
        <w:t>Analisis Artefak</w:t>
      </w:r>
    </w:p>
    <w:tbl>
      <w:tblPr>
        <w:tblW w:type="auto" w:w="0"/>
        <w:jc w:val="center"/>
        <w:tblLayout w:type="fixed"/>
        <w:tblLook w:firstColumn="1" w:firstRow="1" w:lastColumn="0" w:lastRow="0" w:noHBand="0" w:noVBand="1" w:val="04A0"/>
      </w:tblPr>
      <w:tblGrid>
        <w:gridCol w:w="3600"/>
        <w:gridCol w:w="6336"/>
      </w:tblGrid>
      <w:tr>
        <w:trPr>
          <w:tblHeader w:val="true"/>
        </w:trPr>
        <w:tc>
          <w:tcPr>
            <w:tcW w:type="dxa" w:w="4997"/>
            <w:shd w:fill="17365D"/>
            <w:tcMar>
              <w:top w:w="90" w:type="dxa"/>
              <w:start w:w="90" w:type="dxa"/>
              <w:bottom w:w="90" w:type="dxa"/>
              <w:end w:w="90" w:type="dxa"/>
            </w:tcMar>
            <w:vAlign w:val="center"/>
          </w:tcPr>
          <w:p>
            <w:r>
              <w:rPr>
                <w:b/>
                <w:color w:val="FFFFFF"/>
                <w:sz w:val="16"/>
              </w:rPr>
              <w:t>Artefak</w:t>
            </w:r>
          </w:p>
        </w:tc>
        <w:tc>
          <w:tcPr>
            <w:tcW w:type="dxa" w:w="4997"/>
            <w:shd w:fill="17365D"/>
            <w:tcMar>
              <w:top w:w="90" w:type="dxa"/>
              <w:start w:w="90" w:type="dxa"/>
              <w:bottom w:w="90" w:type="dxa"/>
              <w:end w:w="90" w:type="dxa"/>
            </w:tcMar>
            <w:vAlign w:val="center"/>
          </w:tcPr>
          <w:p>
            <w:r>
              <w:rPr>
                <w:b/>
                <w:color w:val="FFFFFF"/>
                <w:sz w:val="16"/>
              </w:rPr>
              <w:t>Alasan sebagai Bukti Dukung</w:t>
            </w:r>
          </w:p>
        </w:tc>
      </w:tr>
      <w:tr>
        <w:trPr>
          <w:cantSplit/>
        </w:trPr>
        <w:tc>
          <w:tcPr>
            <w:tcW w:type="dxa" w:w="3600"/>
            <w:tcMar>
              <w:top w:w="75" w:type="dxa"/>
              <w:start w:w="100" w:type="dxa"/>
              <w:bottom w:w="75" w:type="dxa"/>
              <w:end w:w="100" w:type="dxa"/>
            </w:tcMar>
            <w:vAlign w:val="top"/>
          </w:tcPr>
          <w:p>
            <w:pPr>
              <w:spacing w:after="0" w:line="240" w:lineRule="auto"/>
            </w:pPr>
            <w:r>
              <w:rPr>
                <w:rFonts w:ascii="Aptos" w:hAnsi="Aptos" w:eastAsia="Aptos"/>
                <w:b w:val="0"/>
                <w:color w:val="2D3742"/>
                <w:sz w:val="16"/>
              </w:rPr>
              <w:t>Rancangan/prototipe Sivita</w:t>
            </w:r>
          </w:p>
        </w:tc>
        <w:tc>
          <w:tcPr>
            <w:tcW w:type="dxa" w:w="6336"/>
            <w:tcMar>
              <w:top w:w="75" w:type="dxa"/>
              <w:start w:w="100" w:type="dxa"/>
              <w:bottom w:w="75" w:type="dxa"/>
              <w:end w:w="100" w:type="dxa"/>
            </w:tcMar>
            <w:vAlign w:val="top"/>
          </w:tcPr>
          <w:p>
            <w:pPr>
              <w:spacing w:after="0" w:line="240" w:lineRule="auto"/>
            </w:pPr>
            <w:r>
              <w:rPr>
                <w:rFonts w:ascii="Aptos" w:hAnsi="Aptos" w:eastAsia="Aptos"/>
                <w:b w:val="0"/>
                <w:color w:val="2D3742"/>
                <w:sz w:val="16"/>
              </w:rPr>
              <w:t>Menunjukkan bentuk solusi digital yang dikembangkan untuk kebutuhan pencatatan dan penjadwalan tamu. Analisis difokuskan pada kesesuaian fitur dengan kebutuhan, kejelasan alur, dan kemudahan penggunaan, bukan hanya tampilan teknis.</w:t>
            </w:r>
          </w:p>
        </w:tc>
      </w:tr>
      <w:tr>
        <w:trPr>
          <w:cantSplit/>
        </w:trPr>
        <w:tc>
          <w:tcPr>
            <w:tcW w:type="dxa" w:w="3600"/>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Materi sosialisasi dan rancangan pendampingan pengguna</w:t>
            </w:r>
          </w:p>
        </w:tc>
        <w:tc>
          <w:tcPr>
            <w:tcW w:type="dxa" w:w="63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Mendukung refleksi bahwa adopsi sistem perlu komunikasi, demonstrasi, praktik pengguna, dan kesempatan bertanya. Untuk menyatakan dampak, bukti lanjutan seperti umpan balik pengguna, catatan kendala, atau hasil uji skenario perlu disertakan jika tersedia.</w:t>
            </w:r>
          </w:p>
        </w:tc>
      </w:tr>
    </w:tbl>
    <w:p>
      <w:pPr>
        <w:pStyle w:val="Heading2"/>
      </w:pPr>
      <w:r>
        <w:t>Kaitan Praktis dan Perubahan</w:t>
      </w:r>
    </w:p>
    <w:p>
      <w:r>
        <w:rPr>
          <w:rFonts w:ascii="Aptos" w:hAnsi="Aptos" w:eastAsia="Aptos"/>
        </w:rPr>
        <w:t>Kaitan praktis dan kompetensi: proyek ini melatih kompetensi sosial melalui kerja tim dan komunikasi dengan pengguna, kompetensi profesional melalui pemecahan masalah dengan teknologi, kompetensi pedagogik melalui penyusunan petunjuk dan pelatihan, serta kompetensi kepribadian melalui tanggung jawab terhadap hasil dan tindak lanjut. Saya belajar bahwa memimpin bukan mengerjakan semuanya sendiri, melainkan memastikan tujuan, peran, dan proses evaluasi jelas.</w:t>
      </w:r>
    </w:p>
    <w:p>
      <w:pPr>
        <w:pStyle w:val="Heading1"/>
      </w:pPr>
      <w:r>
        <w:t>5. Mata Kuliah Pilihan Selektif/Elektif - Fokus Keragaman dan Pembelajaran Inklusif</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90" w:type="dxa"/>
              <w:start w:w="90" w:type="dxa"/>
              <w:bottom w:w="90" w:type="dxa"/>
              <w:end w:w="90" w:type="dxa"/>
            </w:tcMar>
            <w:vAlign w:val="center"/>
          </w:tcPr>
          <w:p>
            <w:r>
              <w:rPr>
                <w:b/>
                <w:color w:val="FFFFFF"/>
                <w:sz w:val="16"/>
              </w:rPr>
              <w:t>Tahap</w:t>
            </w:r>
          </w:p>
        </w:tc>
        <w:tc>
          <w:tcPr>
            <w:tcW w:type="dxa" w:w="4997"/>
            <w:shd w:fill="17365D"/>
            <w:tcMar>
              <w:top w:w="90" w:type="dxa"/>
              <w:start w:w="90" w:type="dxa"/>
              <w:bottom w:w="90" w:type="dxa"/>
              <w:end w:w="90" w:type="dxa"/>
            </w:tcMar>
            <w:vAlign w:val="center"/>
          </w:tcPr>
          <w:p>
            <w:r>
              <w:rPr>
                <w:b/>
                <w:color w:val="FFFFFF"/>
                <w:sz w:val="16"/>
              </w:rPr>
              <w:t>Refleksi</w:t>
            </w:r>
          </w:p>
        </w:tc>
      </w:tr>
      <w:tr>
        <w:trPr>
          <w:cantSplit/>
        </w:trPr>
        <w:tc>
          <w:tcPr>
            <w:tcW w:type="dxa" w:w="1800"/>
            <w:tcMar>
              <w:top w:w="75" w:type="dxa"/>
              <w:start w:w="100" w:type="dxa"/>
              <w:bottom w:w="75" w:type="dxa"/>
              <w:end w:w="100" w:type="dxa"/>
            </w:tcMar>
            <w:vAlign w:val="top"/>
          </w:tcPr>
          <w:p>
            <w:pPr>
              <w:spacing w:after="20" w:line="240" w:lineRule="auto"/>
            </w:pPr>
            <w:r>
              <w:rPr>
                <w:sz w:val="16"/>
              </w:rPr>
              <w:t>Connection</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Pembelajaran tentang keragaman dan inklusi terhubung dengan data dan pengamatan kelas X-C. Asesmen diagnostik kognitif tercatat memiliki 41 respons, rentang skor 3-15, dan rata-rata 12,63 dari skor maksimum 15. Survei karakteristik mencakup 43 murid: 83,7% memilih respons tinggi bahwa mereka lebih tertarik belajar melalui praktik, 81,4% merasa lebih cepat belajar ketika langsung mencoba, 86% menyukai kerja kelompok, sedangkan 48,8% memberi respons tinggi pada pernyataan tentang kepercayaan diri berbicara di depan kelas. Data ini memberi konteks kesiapan dan preferensi, bukan ukuran langsung kemampuan setiap murid pada setiap materi.</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Challenge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Tantangannya adalah menggunakan data secara hati-hati dan menghindari generalisasi. Preferensi belajar tidak otomatis menunjukkan kemampuan, dan jumlah respons asesmen tidak boleh dianggap sama dengan jumlah murid terdaftar. Guru perlu memastikan kegiatan praktik dan kelompok tidak hanya menguntungkan murid yang cepat atau percaya diri. Perbedaan kesiapan juga perlu direspons tanpa memberi label permanen atau mengurangi kesempatan murid berkembang.</w:t>
            </w:r>
          </w:p>
        </w:tc>
      </w:tr>
      <w:tr>
        <w:trPr>
          <w:cantSplit/>
        </w:trPr>
        <w:tc>
          <w:tcPr>
            <w:tcW w:type="dxa" w:w="1800"/>
            <w:tcMar>
              <w:top w:w="75" w:type="dxa"/>
              <w:start w:w="100" w:type="dxa"/>
              <w:bottom w:w="75" w:type="dxa"/>
              <w:end w:w="100" w:type="dxa"/>
            </w:tcMar>
            <w:vAlign w:val="top"/>
          </w:tcPr>
          <w:p>
            <w:pPr>
              <w:spacing w:after="20" w:line="240" w:lineRule="auto"/>
            </w:pPr>
            <w:r>
              <w:rPr>
                <w:sz w:val="16"/>
              </w:rPr>
              <w:t>Concept</w:t>
            </w:r>
          </w:p>
        </w:tc>
        <w:tc>
          <w:tcPr>
            <w:tcW w:type="dxa" w:w="8136"/>
            <w:tcMar>
              <w:top w:w="75" w:type="dxa"/>
              <w:start w:w="100" w:type="dxa"/>
              <w:bottom w:w="75" w:type="dxa"/>
              <w:end w:w="100" w:type="dxa"/>
            </w:tcMar>
            <w:vAlign w:val="top"/>
          </w:tcPr>
          <w:p>
            <w:pPr>
              <w:spacing w:after="0" w:line="240" w:lineRule="auto"/>
            </w:pPr>
            <w:r>
              <w:rPr>
                <w:rFonts w:ascii="Aptos" w:hAnsi="Aptos" w:eastAsia="Aptos"/>
                <w:b w:val="0"/>
                <w:color w:val="2D3742"/>
                <w:sz w:val="16"/>
              </w:rPr>
              <w:t>Pembelajaran inklusif dan diferensiasi berarti menjaga tujuan belajar sambil menyesuaikan akses, dukungan, tempo, dan bentuk partisipasi. Data diagnostik perlu dilengkapi dengan observasi serta hasil kerja. Instruksi singkat dan bertahap, contoh konkret, pilihan bekerja dalam kelompok kecil, waktu berpikir sebelum menjawab, dan bantuan dengan tingkat yang sesuai dapat mengurangi hambatan. Guru tetap perlu mengecek pemahaman individu karena partisipasi kelompok atau preferensi belajar saja tidak membuktikan ketercapaian tujuan.</w:t>
            </w:r>
          </w:p>
        </w:tc>
      </w:tr>
      <w:tr>
        <w:trPr>
          <w:cantSplit/>
        </w:trPr>
        <w:tc>
          <w:tcPr>
            <w:tcW w:type="dxa" w:w="1800"/>
            <w:tcMar>
              <w:top w:w="75" w:type="dxa"/>
              <w:start w:w="100" w:type="dxa"/>
              <w:bottom w:w="75" w:type="dxa"/>
              <w:end w:w="100" w:type="dxa"/>
            </w:tcMar>
            <w:vAlign w:val="top"/>
            <w:shd w:fill="F3F6F8"/>
          </w:tcPr>
          <w:p>
            <w:pPr>
              <w:spacing w:after="20" w:line="240" w:lineRule="auto"/>
            </w:pPr>
            <w:r>
              <w:rPr>
                <w:sz w:val="16"/>
              </w:rPr>
              <w:t>Change</w:t>
            </w:r>
          </w:p>
        </w:tc>
        <w:tc>
          <w:tcPr>
            <w:tcW w:type="dxa" w:w="81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Saya akan memadukan asesmen awal dengan observasi selama praktik dan cek pemahaman pada akhir kegiatan. Untuk tugas komputer, saya akan memeriksa keterampilan prasyarat; untuk algoritma, saya akan menanyakan alasan langkah dan meminta murid menunjukkan proses; untuk presentasi, saya akan memberi waktu persiapan atau opsi penjelasan yang sesuai. Saya juga akan memantau pembagian peran kelompok dan menjaga kerahasiaan catatan individual. Dukungan perlu ditinjau berdasarkan bukti apakah murid semakin mandiri dan mencapai tujuan.</w:t>
            </w:r>
          </w:p>
        </w:tc>
      </w:tr>
    </w:tbl>
    <w:p>
      <w:pPr>
        <w:pStyle w:val="Heading2"/>
      </w:pPr>
      <w:r>
        <w:t>Analisis Artefak</w:t>
      </w:r>
    </w:p>
    <w:tbl>
      <w:tblPr>
        <w:tblW w:type="auto" w:w="0"/>
        <w:jc w:val="center"/>
        <w:tblLayout w:type="fixed"/>
        <w:tblLook w:firstColumn="1" w:firstRow="1" w:lastColumn="0" w:lastRow="0" w:noHBand="0" w:noVBand="1" w:val="04A0"/>
      </w:tblPr>
      <w:tblGrid>
        <w:gridCol w:w="3600"/>
        <w:gridCol w:w="6336"/>
      </w:tblGrid>
      <w:tr>
        <w:trPr>
          <w:tblHeader w:val="true"/>
        </w:trPr>
        <w:tc>
          <w:tcPr>
            <w:tcW w:type="dxa" w:w="4997"/>
            <w:shd w:fill="17365D"/>
            <w:tcMar>
              <w:top w:w="90" w:type="dxa"/>
              <w:start w:w="90" w:type="dxa"/>
              <w:bottom w:w="90" w:type="dxa"/>
              <w:end w:w="90" w:type="dxa"/>
            </w:tcMar>
            <w:vAlign w:val="center"/>
          </w:tcPr>
          <w:p>
            <w:r>
              <w:rPr>
                <w:b/>
                <w:color w:val="FFFFFF"/>
                <w:sz w:val="16"/>
              </w:rPr>
              <w:t>Artefak</w:t>
            </w:r>
          </w:p>
        </w:tc>
        <w:tc>
          <w:tcPr>
            <w:tcW w:type="dxa" w:w="4997"/>
            <w:shd w:fill="17365D"/>
            <w:tcMar>
              <w:top w:w="90" w:type="dxa"/>
              <w:start w:w="90" w:type="dxa"/>
              <w:bottom w:w="90" w:type="dxa"/>
              <w:end w:w="90" w:type="dxa"/>
            </w:tcMar>
            <w:vAlign w:val="center"/>
          </w:tcPr>
          <w:p>
            <w:r>
              <w:rPr>
                <w:b/>
                <w:color w:val="FFFFFF"/>
                <w:sz w:val="16"/>
              </w:rPr>
              <w:t>Alasan sebagai Bukti Dukung</w:t>
            </w:r>
          </w:p>
        </w:tc>
      </w:tr>
      <w:tr>
        <w:trPr>
          <w:cantSplit/>
        </w:trPr>
        <w:tc>
          <w:tcPr>
            <w:tcW w:type="dxa" w:w="3600"/>
            <w:tcMar>
              <w:top w:w="75" w:type="dxa"/>
              <w:start w:w="100" w:type="dxa"/>
              <w:bottom w:w="75" w:type="dxa"/>
              <w:end w:w="100" w:type="dxa"/>
            </w:tcMar>
            <w:vAlign w:val="top"/>
          </w:tcPr>
          <w:p>
            <w:pPr>
              <w:spacing w:after="0" w:line="240" w:lineRule="auto"/>
            </w:pPr>
            <w:r>
              <w:rPr>
                <w:rFonts w:ascii="Aptos" w:hAnsi="Aptos" w:eastAsia="Aptos"/>
                <w:b w:val="0"/>
                <w:color w:val="2D3742"/>
                <w:sz w:val="16"/>
              </w:rPr>
              <w:t>T1_2_4 - Merefleksikan Pengalaman Mengajar</w:t>
            </w:r>
          </w:p>
        </w:tc>
        <w:tc>
          <w:tcPr>
            <w:tcW w:type="dxa" w:w="6336"/>
            <w:tcMar>
              <w:top w:w="75" w:type="dxa"/>
              <w:start w:w="100" w:type="dxa"/>
              <w:bottom w:w="75" w:type="dxa"/>
              <w:end w:w="100" w:type="dxa"/>
            </w:tcMar>
            <w:vAlign w:val="top"/>
          </w:tcPr>
          <w:p>
            <w:pPr>
              <w:spacing w:after="0" w:line="240" w:lineRule="auto"/>
            </w:pPr>
            <w:r>
              <w:rPr>
                <w:rFonts w:ascii="Aptos" w:hAnsi="Aptos" w:eastAsia="Aptos"/>
                <w:b w:val="0"/>
                <w:color w:val="2D3742"/>
                <w:sz w:val="16"/>
              </w:rPr>
              <w:t>Memuat data diagnostik kognitif dan survei karakteristik kelas X-C yang dapat digunakan untuk menjelaskan keragaman kesiapan serta preferensi. Angka-angka tersebut harus dilaporkan sesuai cakupannya dan tidak ditafsirkan sebagai diagnosis atau kemampuan yang tetap.</w:t>
            </w:r>
          </w:p>
        </w:tc>
      </w:tr>
      <w:tr>
        <w:trPr>
          <w:cantSplit/>
        </w:trPr>
        <w:tc>
          <w:tcPr>
            <w:tcW w:type="dxa" w:w="3600"/>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T2_1_4/T2_1_5 dan T3_2_4 - Pemetaan keragaman, manfaat inklusi, dan rancangan kelas ramah inklusif</w:t>
            </w:r>
          </w:p>
        </w:tc>
        <w:tc>
          <w:tcPr>
            <w:tcW w:type="dxa" w:w="6336"/>
            <w:tcMar>
              <w:top w:w="75" w:type="dxa"/>
              <w:start w:w="100" w:type="dxa"/>
              <w:bottom w:w="75" w:type="dxa"/>
              <w:end w:w="100" w:type="dxa"/>
            </w:tcMar>
            <w:vAlign w:val="top"/>
            <w:shd w:fill="F3F6F8"/>
          </w:tcPr>
          <w:p>
            <w:pPr>
              <w:spacing w:after="0" w:line="240" w:lineRule="auto"/>
            </w:pPr>
            <w:r>
              <w:rPr>
                <w:rFonts w:ascii="Aptos" w:hAnsi="Aptos" w:eastAsia="Aptos"/>
                <w:b w:val="0"/>
                <w:color w:val="2D3742"/>
                <w:sz w:val="16"/>
              </w:rPr>
              <w:t>Menunjukkan proses mengidentifikasi hambatan serta merancang dukungan, seperti media visual, peran kelompok, pilihan partisipasi, dan pengaturan pembelajaran.</w:t>
            </w:r>
          </w:p>
        </w:tc>
      </w:tr>
      <w:tr>
        <w:trPr>
          <w:cantSplit/>
        </w:trPr>
        <w:tc>
          <w:tcPr>
            <w:tcW w:type="dxa" w:w="3600"/>
            <w:tcMar>
              <w:top w:w="75" w:type="dxa"/>
              <w:start w:w="100" w:type="dxa"/>
              <w:bottom w:w="75" w:type="dxa"/>
              <w:end w:w="100" w:type="dxa"/>
            </w:tcMar>
            <w:vAlign w:val="top"/>
          </w:tcPr>
          <w:p>
            <w:pPr>
              <w:spacing w:after="0" w:line="240" w:lineRule="auto"/>
            </w:pPr>
            <w:r>
              <w:rPr>
                <w:rFonts w:ascii="Aptos" w:hAnsi="Aptos" w:eastAsia="Aptos"/>
                <w:b w:val="0"/>
                <w:color w:val="2D3742"/>
                <w:sz w:val="16"/>
              </w:rPr>
              <w:t>T4_1_4 dan T4_2_4 - Asesmen fungsional dan praktik mengajar</w:t>
            </w:r>
          </w:p>
        </w:tc>
        <w:tc>
          <w:tcPr>
            <w:tcW w:type="dxa" w:w="6336"/>
            <w:tcMar>
              <w:top w:w="75" w:type="dxa"/>
              <w:start w:w="100" w:type="dxa"/>
              <w:bottom w:w="75" w:type="dxa"/>
              <w:end w:w="100" w:type="dxa"/>
            </w:tcMar>
            <w:vAlign w:val="top"/>
          </w:tcPr>
          <w:p>
            <w:pPr>
              <w:spacing w:after="0" w:line="240" w:lineRule="auto"/>
            </w:pPr>
            <w:r>
              <w:rPr>
                <w:rFonts w:ascii="Aptos" w:hAnsi="Aptos" w:eastAsia="Aptos"/>
                <w:b w:val="0"/>
                <w:color w:val="2D3742"/>
                <w:sz w:val="16"/>
              </w:rPr>
              <w:t>Mendukung refleksi tentang penggunaan asesmen untuk menentukan bantuan dan pengelolaan perhatian. Catatan praktik menunjukkan prompt nonverbal perlu dipadukan dengan instruksi verbal atau contoh ketika murid belum menangkap maksudnya.</w:t>
            </w:r>
          </w:p>
        </w:tc>
      </w:tr>
    </w:tbl>
    <w:p>
      <w:pPr>
        <w:pStyle w:val="Heading2"/>
      </w:pPr>
      <w:r>
        <w:t>Kaitan Praktis dan Perubahan</w:t>
      </w:r>
    </w:p>
    <w:p>
      <w:r>
        <w:rPr>
          <w:rFonts w:ascii="Aptos" w:hAnsi="Aptos" w:eastAsia="Aptos"/>
        </w:rPr>
        <w:t>Kaitan praktis dan kompetensi: kompetensi pedagogik diwujudkan saat data digunakan untuk merancang pembelajaran dan tindak lanjut; kompetensi sosial saat setiap murid dihargai dan mendapat akses untuk berpartisipasi; kompetensi kepribadian saat guru bersikap adil dan menjaga kerahasiaan; kompetensi profesional saat data ditafsirkan secara tepat. Saya akan menilai inklusi melalui bukti partisipasi, kualitas hasil kerja, dan perkembangan kemandirian, bukan sekadar karena strategi sudah disiapkan.</w:t>
      </w:r>
    </w:p>
    <w:p>
      <w:r>
        <w:br w:type="page"/>
      </w:r>
    </w:p>
    <w:p>
      <w:pPr>
        <w:pStyle w:val="Heading1"/>
      </w:pPr>
      <w:r>
        <w:t>Sintesis Perkembangan Kompetensi Guru - Semester II</w:t>
      </w:r>
    </w:p>
    <w:p>
      <w:pPr>
        <w:spacing w:after="120"/>
      </w:pPr>
      <w:r>
        <w:t>Pengalaman Semester II memperlihatkan bahwa empat kompetensi bekerja bersama. Tantangan keterampilan dasar Word terutama menuntut penyesuaian pedagogik; proyek Sorting menuntut penguasaan materi dan fasilitasi; PSE menuntut pengelolaan diri serta relasi; Sivita menuntut kolaborasi dan penerapan teknologi secara bertanggung jawab.</w:t>
      </w:r>
    </w:p>
    <w:tbl>
      <w:tblPr>
        <w:tblW w:type="auto" w:w="0"/>
        <w:jc w:val="center"/>
        <w:tblLayout w:type="fixed"/>
        <w:tblLook w:firstColumn="1" w:firstRow="1" w:lastColumn="0" w:lastRow="0" w:noHBand="0" w:noVBand="1" w:val="04A0"/>
      </w:tblPr>
      <w:tblGrid>
        <w:gridCol w:w="1872"/>
        <w:gridCol w:w="4104"/>
        <w:gridCol w:w="4032"/>
      </w:tblGrid>
      <w:tr>
        <w:trPr>
          <w:tblHeader w:val="true"/>
        </w:trPr>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Kompetensi</w:t>
            </w:r>
          </w:p>
        </w:tc>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Bukti/Refleksi yang Relevan</w:t>
            </w:r>
          </w:p>
        </w:tc>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Fokus Pengembangan Berikutnya</w:t>
            </w:r>
          </w:p>
        </w:tc>
      </w:tr>
      <w:tr>
        <w:trPr>
          <w:cantSplit/>
        </w:trPr>
        <w:tc>
          <w:tcPr>
            <w:tcW w:type="dxa" w:w="1872"/>
            <w:vAlign w:val="top"/>
            <w:tcMar>
              <w:top w:w="70" w:type="dxa"/>
              <w:start w:w="90" w:type="dxa"/>
              <w:bottom w:w="70" w:type="dxa"/>
              <w:end w:w="90" w:type="dxa"/>
            </w:tcMar>
          </w:tcPr>
          <w:p>
            <w:pPr>
              <w:spacing w:after="0" w:line="240" w:lineRule="auto"/>
            </w:pPr>
            <w:r>
              <w:rPr>
                <w:rFonts w:ascii="Aptos" w:hAnsi="Aptos" w:eastAsia="Aptos"/>
                <w:b w:val="0"/>
                <w:color w:val="2D3742"/>
                <w:sz w:val="16"/>
              </w:rPr>
              <w:t>Pedagogik</w:t>
            </w:r>
          </w:p>
        </w:tc>
        <w:tc>
          <w:tcPr>
            <w:tcW w:type="dxa" w:w="4104"/>
            <w:vAlign w:val="top"/>
            <w:tcMar>
              <w:top w:w="70" w:type="dxa"/>
              <w:start w:w="90" w:type="dxa"/>
              <w:bottom w:w="70" w:type="dxa"/>
              <w:end w:w="90" w:type="dxa"/>
            </w:tcMar>
          </w:tcPr>
          <w:p>
            <w:pPr>
              <w:spacing w:after="0" w:line="240" w:lineRule="auto"/>
            </w:pPr>
            <w:r>
              <w:rPr>
                <w:rFonts w:ascii="Aptos" w:hAnsi="Aptos" w:eastAsia="Aptos"/>
                <w:b w:val="0"/>
                <w:color w:val="2D3742"/>
                <w:sz w:val="16"/>
              </w:rPr>
              <w:t>Menemukan bahwa tes diagnostik umum tidak menggantikan cek keterampilan prasyarat untuk praktik Word; menggunakan simulasi dan LKPD dalam Sorting; merancang dukungan berdasarkan variasi kesiapan.</w:t>
            </w:r>
          </w:p>
        </w:tc>
        <w:tc>
          <w:tcPr>
            <w:tcW w:type="dxa" w:w="4032"/>
            <w:vAlign w:val="top"/>
            <w:tcMar>
              <w:top w:w="70" w:type="dxa"/>
              <w:start w:w="90" w:type="dxa"/>
              <w:bottom w:w="70" w:type="dxa"/>
              <w:end w:w="90" w:type="dxa"/>
            </w:tcMar>
          </w:tcPr>
          <w:p>
            <w:pPr>
              <w:spacing w:after="0" w:line="240" w:lineRule="auto"/>
            </w:pPr>
            <w:r>
              <w:rPr>
                <w:rFonts w:ascii="Aptos" w:hAnsi="Aptos" w:eastAsia="Aptos"/>
                <w:b w:val="0"/>
                <w:color w:val="2D3742"/>
                <w:sz w:val="16"/>
              </w:rPr>
              <w:t>Menggunakan asesmen yang tepat untuk tugas, mengatur waktu berdasarkan kondisi kelas, serta menilai pemahaman individu di samping hasil kelompok.</w:t>
            </w:r>
          </w:p>
        </w:tc>
      </w:tr>
      <w:tr>
        <w:trPr>
          <w:cantSplit/>
        </w:trPr>
        <w:tc>
          <w:tcPr>
            <w:tcW w:type="dxa" w:w="187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Kepribadian</w:t>
            </w:r>
          </w:p>
        </w:tc>
        <w:tc>
          <w:tcPr>
            <w:tcW w:type="dxa" w:w="4104"/>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Mengenali bahwa pengelolaan kelas perlu tenang dan adil; belajar dari pengalaman positif maupun kesulitan tanpa menutupi kendala.</w:t>
            </w:r>
          </w:p>
        </w:tc>
        <w:tc>
          <w:tcPr>
            <w:tcW w:type="dxa" w:w="403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Mempertahankan disiplin yang tidak menakutkan, melakukan refleksi berbasis bukti, dan terbuka memperbaiki strategi.</w:t>
            </w:r>
          </w:p>
        </w:tc>
      </w:tr>
      <w:tr>
        <w:trPr>
          <w:cantSplit/>
        </w:trPr>
        <w:tc>
          <w:tcPr>
            <w:tcW w:type="dxa" w:w="1872"/>
            <w:vAlign w:val="top"/>
            <w:tcMar>
              <w:top w:w="70" w:type="dxa"/>
              <w:start w:w="90" w:type="dxa"/>
              <w:bottom w:w="70" w:type="dxa"/>
              <w:end w:w="90" w:type="dxa"/>
            </w:tcMar>
          </w:tcPr>
          <w:p>
            <w:pPr>
              <w:spacing w:after="0" w:line="240" w:lineRule="auto"/>
            </w:pPr>
            <w:r>
              <w:rPr>
                <w:rFonts w:ascii="Aptos" w:hAnsi="Aptos" w:eastAsia="Aptos"/>
                <w:b w:val="0"/>
                <w:color w:val="2D3742"/>
                <w:sz w:val="16"/>
              </w:rPr>
              <w:t>Sosial</w:t>
            </w:r>
          </w:p>
        </w:tc>
        <w:tc>
          <w:tcPr>
            <w:tcW w:type="dxa" w:w="4104"/>
            <w:vAlign w:val="top"/>
            <w:tcMar>
              <w:top w:w="70" w:type="dxa"/>
              <w:start w:w="90" w:type="dxa"/>
              <w:bottom w:w="70" w:type="dxa"/>
              <w:end w:w="90" w:type="dxa"/>
            </w:tcMar>
          </w:tcPr>
          <w:p>
            <w:pPr>
              <w:spacing w:after="0" w:line="240" w:lineRule="auto"/>
            </w:pPr>
            <w:r>
              <w:rPr>
                <w:rFonts w:ascii="Aptos" w:hAnsi="Aptos" w:eastAsia="Aptos"/>
                <w:b w:val="0"/>
                <w:color w:val="2D3742"/>
                <w:sz w:val="16"/>
              </w:rPr>
              <w:t>Mendampingi murid, mendorong bantuan sebaya, membagi peran kelompok, dan terlibat dalam sosialisasi sistem Sivita kepada pengguna sekolah.</w:t>
            </w:r>
          </w:p>
        </w:tc>
        <w:tc>
          <w:tcPr>
            <w:tcW w:type="dxa" w:w="4032"/>
            <w:vAlign w:val="top"/>
            <w:tcMar>
              <w:top w:w="70" w:type="dxa"/>
              <w:start w:w="90" w:type="dxa"/>
              <w:bottom w:w="70" w:type="dxa"/>
              <w:end w:w="90" w:type="dxa"/>
            </w:tcMar>
          </w:tcPr>
          <w:p>
            <w:pPr>
              <w:spacing w:after="0" w:line="240" w:lineRule="auto"/>
            </w:pPr>
            <w:r>
              <w:rPr>
                <w:rFonts w:ascii="Aptos" w:hAnsi="Aptos" w:eastAsia="Aptos"/>
                <w:b w:val="0"/>
                <w:color w:val="2D3742"/>
                <w:sz w:val="16"/>
              </w:rPr>
              <w:t>Meningkatkan komunikasi dua arah, memastikan murid/pengguna memiliki kesempatan bertanya, serta mengumpulkan umpan balik.</w:t>
            </w:r>
          </w:p>
        </w:tc>
      </w:tr>
      <w:tr>
        <w:trPr>
          <w:cantSplit/>
        </w:trPr>
        <w:tc>
          <w:tcPr>
            <w:tcW w:type="dxa" w:w="187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Profesional</w:t>
            </w:r>
          </w:p>
        </w:tc>
        <w:tc>
          <w:tcPr>
            <w:tcW w:type="dxa" w:w="4104"/>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Menyiapkan media Word, mendalami konsep Sorting, mengelola proyek konten digital, serta menerapkan pengetahuan teknologi pada Sivita.</w:t>
            </w:r>
          </w:p>
        </w:tc>
        <w:tc>
          <w:tcPr>
            <w:tcW w:type="dxa" w:w="403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Memperbarui materi dan perangkat, menguji keakuratan instruksi, serta menggunakan data hasil belajar dan penggunaan sistem untuk perbaikan.</w:t>
            </w:r>
          </w:p>
        </w:tc>
      </w:tr>
    </w:tbl>
    <w:p>
      <w:pPr>
        <w:pStyle w:val="Heading1"/>
      </w:pPr>
      <w:r>
        <w:t>Sintesis Semester II: Masalah Pembelajaran dan Arah Inovasi</w:t>
      </w:r>
    </w:p>
    <w:p>
      <w:pPr>
        <w:spacing w:after="100"/>
      </w:pPr>
      <w:r>
        <w:t>Pengalaman Semester II memberi konteks langsung bagi rancangan Ruang Informatika SMA. Pada pembelajaran Word, asesmen Google Form yang digunakan di awal memberi gambaran umum, tetapi keterampilan operasional dasar beberapa murid baru terlihat ketika praktik berlangsung. Pendampingan individual dan bantuan teman sebaya membantu proses, tetapi waktu untuk materi inti berkurang sehingga beberapa bagian harus dipercepat. Tindak lanjut yang relevan adalah menambahkan cek prasyarat khusus pada unit yang memerlukan keterampilan komputer, menyediakan panduan langkah demi langkah, serta memberi guru tampilan status aktivitas dan kebutuhan bantuan.</w:t>
      </w:r>
    </w:p>
    <w:p>
      <w:pPr>
        <w:spacing w:after="100"/>
      </w:pPr>
      <w:r>
        <w:t>Pada pembelajaran Sorting, murid mengalami kesulitan membedakan cara kerja Insertion Sort, Selection Sort, dan Bubble Sort. Penjelasan ulang, contoh angka, simulasi kartu, dan perbandingan proses membantu murid; pembagian tugas kelompok, hasil LKPD, serta presentasi praktik berjalan baik menurut pengamatan saya. Pengalaman ini mendukung rancangan aktivitas interaktif per pertemuan: murid tidak hanya membaca materi, tetapi juga mencoba simulasi, menjelaskan alasan, mengerjakan LKPD, dan menunjukkan pemahaman melalui asesmen serta presentasi.</w:t>
      </w:r>
    </w:p>
    <w:p>
      <w:pPr>
        <w:spacing w:after="100"/>
      </w:pPr>
      <w:r>
        <w:t>Karena itu, Ruang Informatika SMA dirancang sebagai sistem lintas kelas dan lintas topik, bukan hanya sebagai halaman materi atau solusi untuk satu masalah Word. Platform perlu mengintegrasikan urutan kegiatan setiap pertemuan dan menyediakan dashboard guru untuk melihat status kelas, aktivitas, pengumpulan tugas, hasil asesmen, partisipasi diskusi, serta kebutuhan tindak lanjut. Informasi tersebut tetap harus dibaca bersama kualitas pekerjaan dan kondisi murid; data aktivitas tidak boleh menjadi satu-satunya ukuran kemampuan.</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top"/>
            <w:shd w:fill="17365D"/>
          </w:tcPr>
          <w:p>
            <w:pPr>
              <w:spacing w:after="40" w:line="240" w:lineRule="auto"/>
            </w:pPr>
            <w:r>
              <w:rPr>
                <w:rFonts w:ascii="Aptos" w:hAnsi="Aptos"/>
                <w:b/>
                <w:color w:val="FFFFFF"/>
                <w:sz w:val="16"/>
              </w:rPr>
              <w:t>Temuan/refleksi</w:t>
            </w:r>
          </w:p>
        </w:tc>
        <w:tc>
          <w:tcPr>
            <w:tcW w:type="dxa" w:w="3331"/>
            <w:vAlign w:val="top"/>
            <w:shd w:fill="17365D"/>
          </w:tcPr>
          <w:p>
            <w:pPr>
              <w:spacing w:after="40" w:line="240" w:lineRule="auto"/>
            </w:pPr>
            <w:r>
              <w:rPr>
                <w:rFonts w:ascii="Aptos" w:hAnsi="Aptos"/>
                <w:b/>
                <w:color w:val="FFFFFF"/>
                <w:sz w:val="16"/>
              </w:rPr>
              <w:t>Keputusan desain</w:t>
            </w:r>
          </w:p>
        </w:tc>
        <w:tc>
          <w:tcPr>
            <w:tcW w:type="dxa" w:w="3331"/>
            <w:vAlign w:val="top"/>
            <w:shd w:fill="17365D"/>
          </w:tcPr>
          <w:p>
            <w:pPr>
              <w:spacing w:after="40" w:line="240" w:lineRule="auto"/>
            </w:pPr>
            <w:r>
              <w:rPr>
                <w:rFonts w:ascii="Aptos" w:hAnsi="Aptos"/>
                <w:b/>
                <w:color w:val="FFFFFF"/>
                <w:sz w:val="16"/>
              </w:rPr>
              <w:t>Kompetensi guru yang dikembangkan</w:t>
            </w:r>
          </w:p>
        </w:tc>
      </w:tr>
      <w:tr>
        <w:tc>
          <w:tcPr>
            <w:tcW w:type="dxa" w:w="3331"/>
            <w:vAlign w:val="top"/>
          </w:tcPr>
          <w:p>
            <w:pPr>
              <w:spacing w:after="40" w:line="240" w:lineRule="auto"/>
            </w:pPr>
            <w:r>
              <w:rPr>
                <w:rFonts w:ascii="Aptos" w:hAnsi="Aptos"/>
                <w:sz w:val="16"/>
              </w:rPr>
              <w:t>Kesiapan keterampilan komputer murid beragam.</w:t>
            </w:r>
          </w:p>
        </w:tc>
        <w:tc>
          <w:tcPr>
            <w:tcW w:type="dxa" w:w="3331"/>
            <w:vAlign w:val="top"/>
          </w:tcPr>
          <w:p>
            <w:pPr>
              <w:spacing w:after="40" w:line="240" w:lineRule="auto"/>
            </w:pPr>
            <w:r>
              <w:rPr>
                <w:rFonts w:ascii="Aptos" w:hAnsi="Aptos"/>
                <w:sz w:val="16"/>
              </w:rPr>
              <w:t>Cek prasyarat per unit, panduan dasar, materi yang dapat dibuka ulang, dan status bantuan.</w:t>
            </w:r>
          </w:p>
        </w:tc>
        <w:tc>
          <w:tcPr>
            <w:tcW w:type="dxa" w:w="3331"/>
            <w:vAlign w:val="top"/>
          </w:tcPr>
          <w:p>
            <w:pPr>
              <w:spacing w:after="40" w:line="240" w:lineRule="auto"/>
            </w:pPr>
            <w:r>
              <w:rPr>
                <w:rFonts w:ascii="Aptos" w:hAnsi="Aptos"/>
                <w:sz w:val="16"/>
              </w:rPr>
              <w:t>Pedagogik: mengenali kesiapan dan merancang diferensiasi.</w:t>
            </w:r>
          </w:p>
        </w:tc>
      </w:tr>
      <w:tr>
        <w:tc>
          <w:tcPr>
            <w:tcW w:type="dxa" w:w="3331"/>
            <w:vAlign w:val="top"/>
            <w:shd w:fill="F1F6F7"/>
          </w:tcPr>
          <w:p>
            <w:pPr>
              <w:spacing w:after="40" w:line="240" w:lineRule="auto"/>
            </w:pPr>
            <w:r>
              <w:rPr>
                <w:rFonts w:ascii="Aptos" w:hAnsi="Aptos"/>
                <w:sz w:val="16"/>
              </w:rPr>
              <w:t>Murid perlu melihat proses algoritma secara konkret.</w:t>
            </w:r>
          </w:p>
        </w:tc>
        <w:tc>
          <w:tcPr>
            <w:tcW w:type="dxa" w:w="3331"/>
            <w:vAlign w:val="top"/>
            <w:shd w:fill="F1F6F7"/>
          </w:tcPr>
          <w:p>
            <w:pPr>
              <w:spacing w:after="40" w:line="240" w:lineRule="auto"/>
            </w:pPr>
            <w:r>
              <w:rPr>
                <w:rFonts w:ascii="Aptos" w:hAnsi="Aptos"/>
                <w:sz w:val="16"/>
              </w:rPr>
              <w:t>Simulasi interaktif, langkah bertahap, LKPD yang meminta alasan, dan kuis formatif.</w:t>
            </w:r>
          </w:p>
        </w:tc>
        <w:tc>
          <w:tcPr>
            <w:tcW w:type="dxa" w:w="3331"/>
            <w:vAlign w:val="top"/>
            <w:shd w:fill="F1F6F7"/>
          </w:tcPr>
          <w:p>
            <w:pPr>
              <w:spacing w:after="40" w:line="240" w:lineRule="auto"/>
            </w:pPr>
            <w:r>
              <w:rPr>
                <w:rFonts w:ascii="Aptos" w:hAnsi="Aptos"/>
                <w:sz w:val="16"/>
              </w:rPr>
              <w:t>Pedagogik dan profesional: menyelaraskan metode dengan konsep Informatika.</w:t>
            </w:r>
          </w:p>
        </w:tc>
      </w:tr>
      <w:tr>
        <w:tc>
          <w:tcPr>
            <w:tcW w:type="dxa" w:w="3331"/>
            <w:vAlign w:val="top"/>
          </w:tcPr>
          <w:p>
            <w:pPr>
              <w:spacing w:after="40" w:line="240" w:lineRule="auto"/>
            </w:pPr>
            <w:r>
              <w:rPr>
                <w:rFonts w:ascii="Aptos" w:hAnsi="Aptos"/>
                <w:sz w:val="16"/>
              </w:rPr>
              <w:t>Guru perlu memantau beberapa kelas dan pertemuan.</w:t>
            </w:r>
          </w:p>
        </w:tc>
        <w:tc>
          <w:tcPr>
            <w:tcW w:type="dxa" w:w="3331"/>
            <w:vAlign w:val="top"/>
          </w:tcPr>
          <w:p>
            <w:pPr>
              <w:spacing w:after="40" w:line="240" w:lineRule="auto"/>
            </w:pPr>
            <w:r>
              <w:rPr>
                <w:rFonts w:ascii="Aptos" w:hAnsi="Aptos"/>
                <w:sz w:val="16"/>
              </w:rPr>
              <w:t>Dashboard multi-kelas, kalender, status materi/tugas, analitik asesmen, serta rekap.</w:t>
            </w:r>
          </w:p>
        </w:tc>
        <w:tc>
          <w:tcPr>
            <w:tcW w:type="dxa" w:w="3331"/>
            <w:vAlign w:val="top"/>
          </w:tcPr>
          <w:p>
            <w:pPr>
              <w:spacing w:after="40" w:line="240" w:lineRule="auto"/>
            </w:pPr>
            <w:r>
              <w:rPr>
                <w:rFonts w:ascii="Aptos" w:hAnsi="Aptos"/>
                <w:sz w:val="16"/>
              </w:rPr>
              <w:t>Profesional: menggunakan teknologi dan data untuk perencanaan tindak lanjut.</w:t>
            </w:r>
          </w:p>
        </w:tc>
      </w:tr>
      <w:tr>
        <w:tc>
          <w:tcPr>
            <w:tcW w:type="dxa" w:w="3331"/>
            <w:vAlign w:val="top"/>
            <w:shd w:fill="F1F6F7"/>
          </w:tcPr>
          <w:p>
            <w:pPr>
              <w:spacing w:after="40" w:line="240" w:lineRule="auto"/>
            </w:pPr>
            <w:r>
              <w:rPr>
                <w:rFonts w:ascii="Aptos" w:hAnsi="Aptos"/>
                <w:sz w:val="16"/>
              </w:rPr>
              <w:t>Interaksi belajar perlu aman dan bermakna.</w:t>
            </w:r>
          </w:p>
        </w:tc>
        <w:tc>
          <w:tcPr>
            <w:tcW w:type="dxa" w:w="3331"/>
            <w:vAlign w:val="top"/>
            <w:shd w:fill="F1F6F7"/>
          </w:tcPr>
          <w:p>
            <w:pPr>
              <w:spacing w:after="40" w:line="240" w:lineRule="auto"/>
            </w:pPr>
            <w:r>
              <w:rPr>
                <w:rFonts w:ascii="Aptos" w:hAnsi="Aptos"/>
                <w:sz w:val="16"/>
              </w:rPr>
              <w:t>Forum per topik, pedoman komunikasi, umpan balik, refleksi, serta perlindungan data.</w:t>
            </w:r>
          </w:p>
        </w:tc>
        <w:tc>
          <w:tcPr>
            <w:tcW w:type="dxa" w:w="3331"/>
            <w:vAlign w:val="top"/>
            <w:shd w:fill="F1F6F7"/>
          </w:tcPr>
          <w:p>
            <w:pPr>
              <w:spacing w:after="40" w:line="240" w:lineRule="auto"/>
            </w:pPr>
            <w:r>
              <w:rPr>
                <w:rFonts w:ascii="Aptos" w:hAnsi="Aptos"/>
                <w:sz w:val="16"/>
              </w:rPr>
              <w:t>Kepribadian dan sosial: keteladanan, empati, tanggung jawab, dan komunikasi.</w:t>
            </w:r>
          </w:p>
        </w:tc>
      </w:tr>
    </w:tbl>
    <w:p>
      <w:pPr>
        <w:spacing w:after="20"/>
      </w:pPr>
    </w:p>
    <w:p>
      <w:pPr>
        <w:spacing w:after="100"/>
      </w:pPr>
      <w:r>
        <w:t>Pengembangan ini akan dilakukan bertahap. Tahap pertama adalah memvalidasi kebutuhan guru dan murid; tahap berikutnya membuat satu unit lengkap sebagai produk awal; setelah alur digunakan dan direvisi, platform diperluas ke beberapa kelas dan topik. Keberhasilan tidak akan dinyatakan hanya karena fitur tersedia, tetapi dinilai melalui kemudahan penggunaan, kelengkapan aktivitas, kualitas bukti belajar, umpan balik pengguna, dan perubahan yang terlihat pada hasil belajar.</w:t>
      </w:r>
    </w:p>
    <w:p>
      <w:pPr>
        <w:pStyle w:val="Heading2"/>
      </w:pPr>
      <w:r>
        <w:t>Kaitan Refleksi Semester II dengan SDGs</w:t>
      </w:r>
    </w:p>
    <w:p>
      <w:r>
        <w:t>Pengalaman membimbing praktik Word dan simulasi Sorting memperkuat alasan untuk menghadirkan pembelajaran yang melatih keterampilan digital sekaligus memberi dukungan sesuai kebutuhan. Hal ini selaras dengan SDG 4 (Pendidikan Berkualitas), terutama pengembangan keterampilan teknologi dan kesempatan belajar yang inklusif. Ruang Informatika SMA juga diarahkan untuk mendukung SDG 9 (Industri, Inovasi, dan Infrastruktur) melalui aktivitas pemecahan masalah, simulasi algoritma, dan penciptaan konten digital. Prinsip akses yang adil—materi web yang dapat dipelajari ulang, petunjuk bertahap, dan bahan PDF yang dapat dibuka atau dicetak—berkaitan dengan SDG 10 (Berkurangnya Kesenjangan). Keterkaitan ini akan dinilai melalui keterjangkauan akses, partisipasi, dan bukti belajar setelah penerapan, bukan diasumsikan tercapai hanya karena platform tersedia.</w:t>
      </w:r>
    </w:p>
    <w:sectPr w:rsidR="00FC693F" w:rsidRPr="0006063C" w:rsidSect="00034616">
      <w:headerReference w:type="default" r:id="rId9"/>
      <w:footerReference w:type="default" r:id="rId10"/>
      <w:pgSz w:w="12240" w:h="15840"/>
      <w:pgMar w:top="893"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LK 2 - Refleksi Semester II  |  Yadi Hapriadi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978"/>
        <w:sz w:val="16"/>
      </w:rPr>
      <w:t>SEMINAR PENDIDIKAN PROFESI GURU  |  PPG INFORMATIKA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246B75"/>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246B7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 2 Refleksi Pengalaman Belajar Semester II - Versi Mendalam</dc:title>
  <dc:subject>Seminar Pendidikan Profesi Guru - PPG Informatika</dc:subject>
  <dc:creator>Yadi Hapriadi</dc:creator>
  <cp:keywords/>
  <dc:description>generated by python-docx</dc:description>
  <cp:lastModifiedBy/>
  <cp:revision>1</cp:revision>
  <dcterms:created xsi:type="dcterms:W3CDTF">2013-12-23T23:15:00Z</dcterms:created>
  <dcterms:modified xsi:type="dcterms:W3CDTF">2013-12-23T23:15:00Z</dcterms:modified>
  <cp:category/>
</cp:coreProperties>
</file>