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6B75"/>
          <w:sz w:val="22"/>
        </w:rPr>
        <w:t>LEMBAR KERJA 2</w:t>
      </w:r>
    </w:p>
    <w:p>
      <w:pPr>
        <w:pStyle w:val="Title"/>
        <w:jc w:val="center"/>
      </w:pPr>
      <w:r>
        <w:t>REFLEKSI PENGALAMAN BELAJAR</w:t>
        <w:br/>
        <w:t>SEMESTER I</w:t>
      </w:r>
    </w:p>
    <w:p>
      <w:pPr>
        <w:jc w:val="center"/>
      </w:pPr>
      <w:r>
        <w:rPr>
          <w:i/>
          <w:color w:val="5A6978"/>
          <w:sz w:val="20"/>
        </w:rPr>
        <w:t>Model Refleksi 4C, Analisis Artefak, dan Kaitan Praktis</w:t>
      </w:r>
    </w:p>
    <w:tbl>
      <w:tblPr>
        <w:tblW w:type="auto" w:w="0"/>
        <w:jc w:val="center"/>
        <w:tblLayout w:type="fixed"/>
        <w:tblLook w:firstColumn="1" w:firstRow="1" w:lastColumn="0" w:lastRow="0" w:noHBand="0" w:noVBand="1" w:val="04A0"/>
      </w:tblPr>
      <w:tblGrid>
        <w:gridCol w:w="2016"/>
        <w:gridCol w:w="7920"/>
      </w:tblGrid>
      <w:tr>
        <w:tc>
          <w:tcPr>
            <w:tcW w:type="dxa" w:w="4997"/>
            <w:shd w:fill="E7F0F2"/>
            <w:tcMar>
              <w:top w:w="65" w:type="dxa"/>
              <w:start w:w="90" w:type="dxa"/>
              <w:bottom w:w="65" w:type="dxa"/>
              <w:end w:w="90" w:type="dxa"/>
            </w:tcMar>
            <w:vAlign w:val="center"/>
          </w:tcPr>
          <w:p>
            <w:pPr>
              <w:spacing w:after="0"/>
            </w:pPr>
            <w:r>
              <w:rPr>
                <w:b/>
                <w:sz w:val="19"/>
              </w:rPr>
              <w:t>Nama</w:t>
            </w:r>
          </w:p>
        </w:tc>
        <w:tc>
          <w:tcPr>
            <w:tcW w:type="dxa" w:w="4997"/>
            <w:tcMar>
              <w:top w:w="65" w:type="dxa"/>
              <w:start w:w="90" w:type="dxa"/>
              <w:bottom w:w="65" w:type="dxa"/>
              <w:end w:w="90" w:type="dxa"/>
            </w:tcMar>
            <w:vAlign w:val="center"/>
          </w:tcPr>
          <w:p>
            <w:pPr>
              <w:spacing w:after="0"/>
            </w:pPr>
            <w:r>
              <w:rPr>
                <w:sz w:val="19"/>
              </w:rPr>
              <w:t>Yadi Hapriadi</w:t>
            </w:r>
          </w:p>
        </w:tc>
      </w:tr>
      <w:tr>
        <w:tc>
          <w:tcPr>
            <w:tcW w:type="dxa" w:w="4997"/>
            <w:shd w:fill="E7F0F2"/>
            <w:tcMar>
              <w:top w:w="65" w:type="dxa"/>
              <w:start w:w="90" w:type="dxa"/>
              <w:bottom w:w="65" w:type="dxa"/>
              <w:end w:w="90" w:type="dxa"/>
            </w:tcMar>
            <w:vAlign w:val="center"/>
          </w:tcPr>
          <w:p>
            <w:pPr>
              <w:spacing w:after="0"/>
            </w:pPr>
            <w:r>
              <w:rPr>
                <w:b/>
                <w:sz w:val="19"/>
              </w:rPr>
              <w:t>NIM</w:t>
            </w:r>
          </w:p>
        </w:tc>
        <w:tc>
          <w:tcPr>
            <w:tcW w:type="dxa" w:w="4997"/>
            <w:tcMar>
              <w:top w:w="65" w:type="dxa"/>
              <w:start w:w="90" w:type="dxa"/>
              <w:bottom w:w="65" w:type="dxa"/>
              <w:end w:w="90" w:type="dxa"/>
            </w:tcMar>
            <w:vAlign w:val="center"/>
          </w:tcPr>
          <w:p>
            <w:pPr>
              <w:spacing w:after="0"/>
            </w:pPr>
            <w:r>
              <w:rPr>
                <w:sz w:val="19"/>
              </w:rPr>
              <w:t>2531094</w:t>
            </w:r>
          </w:p>
        </w:tc>
      </w:tr>
      <w:tr>
        <w:tc>
          <w:tcPr>
            <w:tcW w:type="dxa" w:w="4997"/>
            <w:shd w:fill="E7F0F2"/>
            <w:tcMar>
              <w:top w:w="65" w:type="dxa"/>
              <w:start w:w="90" w:type="dxa"/>
              <w:bottom w:w="65" w:type="dxa"/>
              <w:end w:w="90" w:type="dxa"/>
            </w:tcMar>
            <w:vAlign w:val="center"/>
          </w:tcPr>
          <w:p>
            <w:pPr>
              <w:spacing w:after="0"/>
            </w:pPr>
            <w:r>
              <w:rPr>
                <w:b/>
                <w:sz w:val="19"/>
              </w:rPr>
              <w:t>Program Studi</w:t>
            </w:r>
          </w:p>
        </w:tc>
        <w:tc>
          <w:tcPr>
            <w:tcW w:type="dxa" w:w="4997"/>
            <w:tcMar>
              <w:top w:w="65" w:type="dxa"/>
              <w:start w:w="90" w:type="dxa"/>
              <w:bottom w:w="65" w:type="dxa"/>
              <w:end w:w="90" w:type="dxa"/>
            </w:tcMar>
            <w:vAlign w:val="center"/>
          </w:tcPr>
          <w:p>
            <w:pPr>
              <w:spacing w:after="0"/>
            </w:pPr>
            <w:r>
              <w:rPr>
                <w:sz w:val="19"/>
              </w:rPr>
              <w:t>PPG Informatika - Universitas Pendidikan Indonesia</w:t>
            </w:r>
          </w:p>
        </w:tc>
      </w:tr>
    </w:tbl>
    <w:p>
      <w:pPr>
        <w:pStyle w:val="Heading1"/>
      </w:pPr>
      <w:r>
        <w:t>Pengantar</w:t>
      </w:r>
    </w:p>
    <w:p>
      <w:r>
        <w:rPr>
          <w:rFonts w:ascii="Aptos" w:hAnsi="Aptos" w:eastAsia="Aptos"/>
        </w:rPr>
        <w:t>Refleksi Semester I ini meninjau enam pengalaman belajar melalui model 4C: Connection (kaitan dengan pengalaman dan peran guru), Challenge (tantangan dan penyebabnya), Concept (pemahaman yang saya bangun), serta Change (keputusan perbaikan yang dapat diamati). Saya menghubungkan setiap refleksi dengan artefak yang relevan dan empat kompetensi guru: pedagogik, kepribadian, sosial, dan profesional. Refleksi ini tidak bertujuan menggambarkan diri selalu berhasil, tetapi menjelaskan apa yang saya pahami, bukti yang mendukungnya, dan langkah yang masih perlu dikembangkan.</w:t>
      </w:r>
    </w:p>
    <w:p>
      <w:pPr>
        <w:pStyle w:val="Heading1"/>
      </w:pPr>
      <w:r>
        <w:t>1. Filosofi Pendidikan dan Pendidikan Nilai</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Pengalaman saya sebagai murid di SMPN 4 Garut menjadi titik awal memahami bahwa guru memengaruhi cara murid memandang belajar dan dirinya sendiri. Pak Asep Kusdian saya ingat sebagai guru yang suportif dan memotivasi; Bu Nunung Zamilah tegas dalam kedisiplinan, tetapi tetap membuat suasana kelas nyaman. Keduanya memberi contoh nyata tentang nilai pendidikan yang terasa melalui tindakan, bukan hanya nasihat. Pengalaman itu juga membuat saya menyadari bahwa kehadiran, konsistensi, dan cara guru memperlakukan murid dapat meninggalkan kesan jangka panjang.</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 yang saya lihat adalah menerjemahkan nilai dan filosofi pendidikan ke dalam keputusan sehari-hari, terutama ketika kelas ramai, murid melakukan kesalahan, atau target pembelajaran belum tercapai. Menjadi tegas saja tidak cukup; guru perlu memastikan ketegasannya adil, dapat dipahami, dan tidak merendahkan martabat murid. Sebaliknya, kepedulian tanpa batas dan aturan yang konsisten juga dapat membuat pembelajaran tidak terarah. Saya perlu belajar menyeimbangkan tuntutan, dukungan, dan tanggung jawab.</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Saya memaknai pendidikan sebagai proses menuntun perkembangan murid secara menyeluruh. Nilai pendidikan perlu hadir dalam perencanaan, aturan kelas, bahasa yang dipilih, umpan balik, dan cara menyikapi kesalahan. Guru bukan hanya menyampaikan isi pelajaran, tetapi memberi teladan dalam tanggung jawab, menghargai perbedaan, dan membuka kesempatan murid memperbaiki diri. Pemahaman ini berkaitan dengan kompetensi kepribadian dan sosial, serta kompetensi pedagogik ketika nilai tersebut diwujudkan dalam lingkungan belajar yang aman dan berorientasi pada perkembangan murid.</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Dalam praktik, saya akan menyampaikan aturan dan alasan di baliknya, menegur perilaku tanpa memberi label pada pribadi murid, serta memberi umpan balik yang menjelaskan apa yang sudah tepat dan apa langkah perbaikannya. Setelah mengajar, saya akan meninjau apakah aturan diterapkan secara konsisten dan apakah cara saya berbicara membantu murid kembali belajar. Dengan cara itu, nilai pendidikan tidak berhenti sebagai pernyataan ideal, tetapi menjadi kebiasaan yang dapat dievaluasi.</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Tugas/refleksi pada mata kuliah Filosofi Pendidikan dan Pendidikan Nilai</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ini mendukung refleksi tentang tujuan pendidikan, posisi guru dalam menuntun perkembangan murid, dan nilai yang ingin diwujudkan. Bagian yang paling relevan untuk ditampilkan adalah pernyataan mengenai peran guru, keteladanan, penghargaan terhadap murid, atau prinsip pendidikan yang kemudian saya hubungkan dengan pengalaman pribadi sebagai murid. Gunakan file asli yang tersedia di portofolio sebagai bukti, bukan hanya uraian refleksi ini.</w:t>
            </w:r>
          </w:p>
        </w:tc>
      </w:tr>
    </w:tbl>
    <w:p>
      <w:pPr>
        <w:pStyle w:val="Heading2"/>
      </w:pPr>
      <w:r>
        <w:t>Kaitan Praktis</w:t>
      </w:r>
    </w:p>
    <w:p>
      <w:r>
        <w:rPr>
          <w:rFonts w:ascii="Aptos" w:hAnsi="Aptos" w:eastAsia="Aptos"/>
        </w:rPr>
        <w:t>Kaitan praktis: nilai pendidikan harus terlihat dalam keputusan kelas. Ini terutama mengembangkan kompetensi kepribadian (keteladanan dan tanggung jawab), kompetensi sosial (komunikasi yang menghargai), dan kompetensi pedagogik (menciptakan kondisi belajar yang aman dan terarah). Saya akan mengevaluasinya melalui catatan refleksi, bukan hanya berdasarkan niat atau persepsi bahwa saya sudah bersikap baik.</w:t>
      </w:r>
    </w:p>
    <w:p>
      <w:pPr>
        <w:pStyle w:val="Heading1"/>
      </w:pPr>
      <w:r>
        <w:t>2. Peserta Didik dan Pemahamannya</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Mata kuliah tentang peserta didik membantu saya memahami bahwa murid datang dengan kesiapan, pengalaman, minat, kebiasaan, dan rasa percaya diri yang berbeda. Dalam Informatika, perbedaan tersebut dapat terlihat pada cara murid membaca instruksi, menafsirkan algoritma, menggunakan aplikasi, atau menjelaskan alasan di balik suatu langkah. Perbedaan bukan otomatis tanda bahwa murid tidak mampu; perbedaan itu memberi informasi kepada guru tentang titik awal dan bentuk bantuan yang mungkin dibutuhkan.</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Tantangannya adalah menghindari asumsi bahwa penjelasan yang sama akan dipahami semua murid dalam waktu yang sama. Jika saya hanya menilai produk akhir atau murid yang paling aktif berbicara, saya mungkin tidak mengetahui siapa yang masih bingung, siapa yang dapat bekerja mandiri, dan siapa yang membutuhkan contoh tambahan. Pada saat yang sama, bantuan tidak boleh membuat murid yang membutuhkan dukungan merasa diberi label atau membuat murid yang lebih siap harus menunggu tanpa tantangan.</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Pemahaman terhadap peserta didik harus dibangun dari beberapa sumber: asesmen awal, observasi, percakapan, proses kerja, dan hasil tugas. Informasi tersebut digunakan untuk menyesuaikan contoh, tempo, instruksi, pengelompokan, dan tingkat bantuan. Pendekatan berpusat pada murid bukan berarti setiap murid selalu belajar dengan cara berbeda sepenuhnya, tetapi guru merancang akses yang memadai agar semua murid berpeluang mencapai tujuan yang sama. Ini merupakan bagian inti kompetensi pedagogik serta membutuhkan komunikasi sosial yang tidak menghakimi.</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Saya akan memeriksa pengetahuan dan keterampilan prasyarat yang benar-benar diperlukan untuk tugas, menyusun instruksi dalam langkah pendek, memberi contoh visual, dan menyediakan waktu bagi murid untuk mencoba. Saat murid bekerja, saya akan mengamati prosesnya dan mencatat pola kesulitan yang muncul. Saya juga akan memberi tugas lanjutan bagi murid yang sudah siap serta mengecek pemahaman individu agar pekerjaan kelompok tidak menutupi kebutuhan seseorang.</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Tugas pemetaan/pemahaman peserta didik dari mata kuliah terkait</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ini relevan jika memuat karakteristik, kebutuhan, tahap perkembangan, atau faktor yang memengaruhi belajar murid. Saya memilihnya karena menguatkan prinsip bahwa keputusan pedagogik seharusnya didasarkan pada informasi tentang peserta didik. Pada portofolio, tampilkan bagian yang benar-benar digunakan untuk menarik kesimpulan dan menjelaskan tindakan yang direncanakan.</w:t>
            </w:r>
          </w:p>
        </w:tc>
      </w:tr>
    </w:tbl>
    <w:p>
      <w:pPr>
        <w:pStyle w:val="Heading2"/>
      </w:pPr>
      <w:r>
        <w:t>Kaitan Praktis</w:t>
      </w:r>
    </w:p>
    <w:p>
      <w:r>
        <w:rPr>
          <w:rFonts w:ascii="Aptos" w:hAnsi="Aptos" w:eastAsia="Aptos"/>
        </w:rPr>
        <w:t>Kaitan praktis: kompetensi pedagogik dimulai dari pemahaman terhadap kesiapan murid, bukan dari keinginan menuntaskan slide. Saya akan menggabungkan asesmen awal dan observasi selama proses, lalu mencatat tindak lanjut yang berbeda secara proporsional. Kompetensi sosial tampak dalam cara mengomunikasikan bantuan tanpa mempermalukan murid.</w:t>
      </w:r>
    </w:p>
    <w:p>
      <w:pPr>
        <w:pStyle w:val="Heading1"/>
      </w:pPr>
      <w:r>
        <w:t>3. Pembelajaran Mendalam dan Asesmen Dasar</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Materi pembelajaran mendalam dan asesmen dasar saya hubungkan dengan kebutuhan mengajar Informatika yang tidak cukup berhenti pada murid meniru contoh. Murid perlu memahami konsep, mencoba menerapkannya, melihat kesalahan, dan menjelaskan mengapa suatu solusi bekerja atau tidak bekerja. Karena itu, asesmen seharusnya terhubung dengan tujuan belajar sejak awal, bukan baru dipikirkan setelah kegiatan selesai.</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 utamanya adalah menjaga keselarasan antara tujuan, kegiatan, dan bukti pencapaian. Aktivitas yang ramai atau menarik tidak otomatis menunjukkan pemahaman, dan satu nilai akhir tidak selalu menjelaskan konsep mana yang sudah dikuasai serta bagian mana yang masih perlu dibantu. Guru juga dapat keliru jika menganggap hasil kelompok yang baik merupakan bukti bahwa setiap anggotanya telah mencapai tujuan secara mandiri.</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Asesmen memiliki fungsi yang berbeda tetapi saling melengkapi. Asesmen awal memberi gambaran kesiapan; asesmen formatif selama proses memberi informasi untuk menyesuaikan pengajaran dan umpan balik; asesmen sumatif menilai capaian setelah pembelajaran. Bukti dapat berupa jawaban, praktik, hasil LKPD, penjelasan lisan, produk, atau refleksi, tergantung kompetensi yang hendak dinilai. Pembelajaran mendalam terjadi ketika murid menghubungkan konsep, menerapkan pengetahuan, dan meninjau kembali pemahamannya.</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Sebelum mengajar, saya akan menuliskan indikator keberhasilan dan memilih bukti yang bisa menunjukkan ketercapaian indikator itu. Selama kegiatan, saya akan menyisipkan pertanyaan cek pemahaman, mengamati proses kerja, dan memberi umpan balik spesifik. Setelahnya, saya akan mengelompokkan temuan menjadi konsep yang sudah dipahami, miskonsepsi yang perlu diluruskan, serta keterampilan yang memerlukan latihan tambahan. Hasil asesmen harus mengubah keputusan pembelajaran berikutnya, bukan hanya menjadi angka di daftar nilai.</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Perangkat/rancangan pembelajaran dan instrumen asesmen dasar</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ini menunjukkan bagaimana tujuan, aktivitas, dan asesmen disusun. Bukti yang perlu ditunjukkan ialah keterkaitan antara indikator, bentuk tugas, dan kriteria penilaian. Jika terdapat instrumen diagnostik atau formatif, artefak itu dapat dipakai untuk menilai apakah informasi yang dikumpulkan benar-benar membantu guru menentukan tindak lanjut.</w:t>
            </w:r>
          </w:p>
        </w:tc>
      </w:tr>
    </w:tbl>
    <w:p>
      <w:pPr>
        <w:pStyle w:val="Heading2"/>
      </w:pPr>
      <w:r>
        <w:t>Kaitan Praktis</w:t>
      </w:r>
    </w:p>
    <w:p>
      <w:r>
        <w:rPr>
          <w:rFonts w:ascii="Aptos" w:hAnsi="Aptos" w:eastAsia="Aptos"/>
        </w:rPr>
        <w:t>Kaitan praktis: kompetensi pedagogik terlihat saat saya menggunakan asesmen untuk mengubah strategi atau dukungan. Kompetensi profesional juga diperlukan agar instrumen benar-benar mengukur konsep Informatika yang tepat. Saya akan membiasakan diri bertanya sebelum memilih aktivitas: bukti apa yang akan menunjukkan bahwa murid memahami konsep, bukan hanya menyelesaikan tugas?</w:t>
      </w:r>
    </w:p>
    <w:p>
      <w:pPr>
        <w:pStyle w:val="Heading1"/>
      </w:pPr>
      <w:r>
        <w:t>4. Praktik Pengalaman Lapangan (PPL) Terbimbing</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PPL Terbimbing memberi kesempatan untuk menguji rancangan dalam situasi kelas. Pada praktik awal operator aritmetika Python, saya mempertimbangkan pendekatan Inquiry dan menggunakan gambar kalkulator sebagai apersepsi. Murid aktif mencoba program dan beberapa maju ke depan. Refleksi bersama guru pamong kemudian menunjukkan bahwa, untuk materi dan kondisi kelas tersebut, Direct Instruction lebih sesuai agar murid mendapatkan contoh serta arahan yang cukup sebelum berlatih.</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Tantangannya adalah tidak terpaku pada metode yang dipilih saat membuat modul. Saya perlu menilai kecocokan metode berdasarkan tujuan dan respons murid. Saya juga datang ke PPG setelah beberapa waktu bekerja di bidang kreatif sehingga penguasaan materi Informatika dan pemahaman pedagogik perlu disegarkan kembali. Hal itu membuat persiapan bukan sekadar tugas administratif, tetapi tanggung jawab profesional agar penjelasan dan contoh yang diberikan akurat.</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Praktik mengajar membutuhkan siklus perencanaan, pelaksanaan, pengamatan, umpan balik, dan perbaikan. Metode pembelajaran perlu dipilih sesuai sifat materi dan kesiapan murid; tidak ada satu metode yang otomatis paling baik untuk semua situasi. Kompetensi profesional menuntut penguasaan konsep, sedangkan kompetensi pedagogik menuntut kemampuan menjembatani konsep itu melalui penjelasan dan latihan yang sesuai. Masukan pembimbing menjadi lebih bermakna ketika diterjemahkan menjadi perubahan yang dapat diamati.</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Saya akan terus mempersiapkan materi dengan membaca referensi, berlatih coding, menguji contoh program, dan memperkirakan kesalahan yang mungkin muncul. Saya juga akan meminta umpan balik secara spesifik tentang kejelasan instruksi, interaksi, dan keterlibatan murid. Pada praktik berikutnya saya akan mencoba satu perbaikan terarah, lalu menilai dampaknya dari respons dan hasil kerja murid, bukan hanya dari perasaan saya setelah mengajar.</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Perangkat ajar dan refleksi praktik mengajar operator aritmetika Python</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ini mendukung penjelasan tentang perubahan pertimbangan metode dari Inquiry ke Direct Instruction melalui refleksi dan diskusi dengan guru pamong. Gunakan bagian yang benar-benar tercatat pada perangkat/refleksi semester I untuk menunjukkan alasan perubahan dan tindak lanjut yang dipilih.</w:t>
            </w:r>
          </w:p>
        </w:tc>
      </w:tr>
    </w:tbl>
    <w:p>
      <w:pPr>
        <w:pStyle w:val="Heading2"/>
      </w:pPr>
      <w:r>
        <w:t>Kaitan Praktis</w:t>
      </w:r>
    </w:p>
    <w:p>
      <w:r>
        <w:rPr>
          <w:rFonts w:ascii="Aptos" w:hAnsi="Aptos" w:eastAsia="Aptos"/>
        </w:rPr>
        <w:t>Kaitan praktis: pengalaman PPL mengembangkan kompetensi pedagogik (memilih strategi sesuai tujuan dan kesiapan), profesional (menguasai materi sebelum mengajar), dan sosial (menerima masukan pembimbing serta berkomunikasi lebih terarah). Saya belajar bahwa rencana awal perlu dipertahankan jika terbukti membantu, tetapi harus diubah bila bukti kelas menunjukkan kebutuhan berbeda.</w:t>
      </w:r>
    </w:p>
    <w:p>
      <w:pPr>
        <w:pStyle w:val="Heading1"/>
      </w:pPr>
      <w:r>
        <w:t>5. Pola Pikir Bertumbuh (Growth Mindset)</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Pola pikir bertumbuh sangat berkaitan dengan perjalanan saya setelah lulus S1 Pendidikan Teknologi Informasi. Karena belum percaya diri menjadi guru, saya sempat bekerja sebagai Social Media Specialist di Larisko. Ketika kembali ke pendidikan melalui PPG, saya menyadari bahwa sebagian materi Informatika dan pengetahuan tentang pembelajaran perlu saya segarkan. Saya memilih menghadapinya dengan belajar lebih intensif, bukan menganggap jeda dari bidang pendidikan sebagai alasan untuk tidak mampu berkembang.</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Tantangannya adalah menerima bahwa pengalaman kerja di bidang kreatif tidak otomatis menjaga semua kompetensi mengajar tetap terasah. Saya perlu mengakui area yang belum kuat, mengatur waktu untuk belajar, dan memastikan usaha belajar tidak hanya berupa membaca cepat atau membuat slide. Saya juga perlu menghindari pola pikir bahwa media menarik sudah cukup; kualitas pembelajaran tetap bergantung pada ketepatan konsep, instruksi, asesmen, dan tindak lanjut.</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Pola pikir bertumbuh bukan sekadar berpikir positif atau terus berusaha tanpa arah. Perkembangan terjadi ketika seseorang mengenali kesenjangan, memilih strategi belajar yang tepat, menggunakan umpan balik, berlatih, dan memeriksa hasilnya. Sebagai calon guru, saya perlu mencontohkan sikap tersebut kepada murid: kesalahan merupakan informasi tentang bagian yang perlu dipelajari, tetapi tetap membutuhkan usaha terarah dan tanggung jawab untuk memperbaikinya.</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Kebiasaan yang akan saya pertahankan adalah membaca ulang materi sebelum mengajar, mencari referensi tepercaya, berlatih coding, menyusun PPT sambil mendalami isinya, dan berdiskusi dengan pihak yang lebih berpengalaman. Saya akan membuat catatan singkat tentang pertanyaan yang belum mampu saya jawab dan menyelesaikannya sebelum pertemuan berikutnya. Saya juga akan mengevaluasi apakah persiapan itu meningkatkan kejelasan penjelasan dan kualitas contoh, bukan hanya memperpanjang waktu persiapan.</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Refleksi/rencana aksi pada mata kuliah Pola Pikir Bertumbuh</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ini dapat menunjukkan bagaimana saya mengidentifikasi kemampuan yang perlu dikembangkan dan mengubahnya menjadi tindakan. Keterkaitannya akan lebih kuat jika bagian artefak yang ditampilkan memperlihatkan sasaran pengembangan, strategi, dan indikator kemajuan yang spesifik.</w:t>
            </w:r>
          </w:p>
        </w:tc>
      </w:tr>
    </w:tbl>
    <w:p>
      <w:pPr>
        <w:pStyle w:val="Heading2"/>
      </w:pPr>
      <w:r>
        <w:t>Kaitan Praktis</w:t>
      </w:r>
    </w:p>
    <w:p>
      <w:r>
        <w:rPr>
          <w:rFonts w:ascii="Aptos" w:hAnsi="Aptos" w:eastAsia="Aptos"/>
        </w:rPr>
        <w:t>Kaitan praktis: pola pikir bertumbuh mendukung kompetensi kepribadian melalui sikap terbuka, tangguh, dan bertanggung jawab, serta kompetensi profesional melalui pengembangan kemampuan secara berkelanjutan. Saya tidak ingin hanya menyebut diri saya mau belajar; saya perlu menunjukkan kebiasaan belajar, penggunaan umpan balik, dan perubahan praktik.</w:t>
      </w:r>
    </w:p>
    <w:p>
      <w:pPr>
        <w:pStyle w:val="Heading1"/>
      </w:pPr>
      <w:r>
        <w:t>6. Mata Kuliah Pilihan Selektif/Elektif - Fokus Keragaman dan Pembelajaran Inklusif</w:t>
      </w:r>
    </w:p>
    <w:p>
      <w:pPr>
        <w:pStyle w:val="Heading2"/>
      </w:pPr>
      <w:r>
        <w:t>Refleksi 4C</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4997"/>
            <w:shd w:fill="17365D"/>
            <w:tcMar>
              <w:top w:w="80" w:type="dxa"/>
              <w:start w:w="80" w:type="dxa"/>
              <w:bottom w:w="80" w:type="dxa"/>
              <w:end w:w="80" w:type="dxa"/>
            </w:tcMar>
          </w:tcPr>
          <w:p>
            <w:r>
              <w:rPr>
                <w:b/>
                <w:color w:val="FFFFFF"/>
                <w:sz w:val="16"/>
              </w:rPr>
              <w:t>Tahap</w:t>
            </w:r>
          </w:p>
        </w:tc>
        <w:tc>
          <w:tcPr>
            <w:tcW w:type="dxa" w:w="4997"/>
            <w:shd w:fill="17365D"/>
            <w:tcMar>
              <w:top w:w="80" w:type="dxa"/>
              <w:start w:w="80" w:type="dxa"/>
              <w:bottom w:w="80" w:type="dxa"/>
              <w:end w:w="80" w:type="dxa"/>
            </w:tcMar>
          </w:tcPr>
          <w:p>
            <w:r>
              <w:rPr>
                <w:b/>
                <w:color w:val="FFFFFF"/>
                <w:sz w:val="16"/>
              </w:rPr>
              <w:t>Refleksi</w:t>
            </w:r>
          </w:p>
        </w:tc>
      </w:tr>
      <w:tr>
        <w:trPr>
          <w:cantSplit/>
        </w:trPr>
        <w:tc>
          <w:tcPr>
            <w:tcW w:type="dxa" w:w="1800"/>
            <w:tcMar>
              <w:top w:w="65" w:type="dxa"/>
              <w:start w:w="90" w:type="dxa"/>
              <w:bottom w:w="65" w:type="dxa"/>
              <w:end w:w="90" w:type="dxa"/>
            </w:tcMar>
            <w:vAlign w:val="top"/>
          </w:tcPr>
          <w:p>
            <w:pPr>
              <w:spacing w:after="0" w:line="240" w:lineRule="auto"/>
            </w:pPr>
            <w:r>
              <w:rPr>
                <w:sz w:val="16"/>
              </w:rPr>
              <w:t>Connection</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Pembelajaran tentang keragaman dan inklusi memperluas cara saya melihat kesiapan murid. Dalam Informatika, akses ke perangkat dan pengalaman menggunakan teknologi dapat memengaruhi kelancaran praktik, sementara rasa percaya diri dapat memengaruhi siapa yang berani bertanya atau mempresentasikan proses berpikirnya. Pembelajaran inklusif mengingatkan saya agar setiap murid memperoleh kesempatan yang adil untuk mencapai tujuan, walaupun dukungan yang dibutuhkan dapat berbeda.</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Challenge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Tantangannya adalah menyiapkan dukungan yang cukup tanpa menurunkan harapan atau memberi label pada murid. Instruksi yang hanya disampaikan secara lisan, tempo yang terlalu cepat, atau penilaian yang terlalu bergantung pada presentasi spontan dapat menjadi hambatan bagi sebagian murid. Sebaliknya, guru juga perlu memberi kesempatan mandiri kepada murid yang sudah siap agar pembelajaran tetap menantang dan tidak melambat untuk semua.</w:t>
            </w:r>
          </w:p>
        </w:tc>
      </w:tr>
      <w:tr>
        <w:trPr>
          <w:cantSplit/>
        </w:trPr>
        <w:tc>
          <w:tcPr>
            <w:tcW w:type="dxa" w:w="1800"/>
            <w:tcMar>
              <w:top w:w="65" w:type="dxa"/>
              <w:start w:w="90" w:type="dxa"/>
              <w:bottom w:w="65" w:type="dxa"/>
              <w:end w:w="90" w:type="dxa"/>
            </w:tcMar>
            <w:vAlign w:val="top"/>
          </w:tcPr>
          <w:p>
            <w:pPr>
              <w:spacing w:after="0" w:line="240" w:lineRule="auto"/>
            </w:pPr>
            <w:r>
              <w:rPr>
                <w:sz w:val="16"/>
              </w:rPr>
              <w:t>Concept</w:t>
            </w:r>
          </w:p>
        </w:tc>
        <w:tc>
          <w:tcPr>
            <w:tcW w:type="dxa" w:w="8136"/>
            <w:tcMar>
              <w:top w:w="65" w:type="dxa"/>
              <w:start w:w="90" w:type="dxa"/>
              <w:bottom w:w="65" w:type="dxa"/>
              <w:end w:w="90" w:type="dxa"/>
            </w:tcMar>
            <w:vAlign w:val="top"/>
          </w:tcPr>
          <w:p>
            <w:pPr>
              <w:spacing w:after="0" w:line="240" w:lineRule="auto"/>
            </w:pPr>
            <w:r>
              <w:rPr>
                <w:rFonts w:ascii="Aptos" w:hAnsi="Aptos" w:eastAsia="Aptos"/>
                <w:b w:val="0"/>
                <w:color w:val="2D3742"/>
                <w:sz w:val="16"/>
              </w:rPr>
              <w:t>Pembelajaran inklusif berarti mengenali dan mengurangi hambatan terhadap partisipasi dan pencapaian tujuan. Guru dapat menggunakan instruksi singkat bertahap, contoh konkret dan visual, waktu berpikir, latihan dengan tingkat bantuan yang sesuai, peran kelompok yang jelas, serta beberapa cara untuk menunjukkan pemahaman. Asesmen fungsional digunakan untuk menentukan dukungan, bukan menempelkan label atau menyimpulkan keterbatasan murid secara permanen.</w:t>
            </w:r>
          </w:p>
        </w:tc>
      </w:tr>
      <w:tr>
        <w:trPr>
          <w:cantSplit/>
        </w:trPr>
        <w:tc>
          <w:tcPr>
            <w:tcW w:type="dxa" w:w="1800"/>
            <w:tcMar>
              <w:top w:w="65" w:type="dxa"/>
              <w:start w:w="90" w:type="dxa"/>
              <w:bottom w:w="65" w:type="dxa"/>
              <w:end w:w="90" w:type="dxa"/>
            </w:tcMar>
            <w:vAlign w:val="top"/>
            <w:shd w:fill="F3F6F8"/>
          </w:tcPr>
          <w:p>
            <w:pPr>
              <w:spacing w:after="0" w:line="240" w:lineRule="auto"/>
            </w:pPr>
            <w:r>
              <w:rPr>
                <w:sz w:val="16"/>
              </w:rPr>
              <w:t>Change</w:t>
            </w:r>
          </w:p>
        </w:tc>
        <w:tc>
          <w:tcPr>
            <w:tcW w:type="dxa" w:w="8136"/>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Saya akan memeriksa keterampilan prasyarat untuk tugas praktik, menyajikan langkah penting secara visual, dan mengamati kebutuhan bantuan selama kegiatan. Saya akan membagi peran kelompok dengan jelas dan mengumpulkan bukti individual selain produk kelompok. Murid yang belum nyaman berbicara spontan dapat diberi waktu berpikir atau menunjukkan pemahaman lewat demonstrasi; murid yang sudah siap dapat diberi tugas pengayaan. Catatan kebutuhan akan dijaga kerahasiaannya.</w:t>
            </w:r>
          </w:p>
        </w:tc>
      </w:tr>
    </w:tbl>
    <w:p>
      <w:pPr>
        <w:pStyle w:val="Heading2"/>
      </w:pPr>
      <w:r>
        <w:t>Analisis Artefak</w:t>
      </w:r>
    </w:p>
    <w:tbl>
      <w:tblPr>
        <w:tblW w:type="auto" w:w="0"/>
        <w:jc w:val="center"/>
        <w:tblLayout w:type="fixed"/>
        <w:tblLook w:firstColumn="1" w:firstRow="1" w:lastColumn="0" w:lastRow="0" w:noHBand="0" w:noVBand="1" w:val="04A0"/>
      </w:tblPr>
      <w:tblGrid>
        <w:gridCol w:w="3384"/>
        <w:gridCol w:w="6552"/>
      </w:tblGrid>
      <w:tr>
        <w:trPr>
          <w:tblHeader w:val="true"/>
        </w:trPr>
        <w:tc>
          <w:tcPr>
            <w:tcW w:type="dxa" w:w="4997"/>
            <w:shd w:fill="17365D"/>
            <w:tcMar>
              <w:top w:w="80" w:type="dxa"/>
              <w:start w:w="80" w:type="dxa"/>
              <w:bottom w:w="80" w:type="dxa"/>
              <w:end w:w="80" w:type="dxa"/>
            </w:tcMar>
          </w:tcPr>
          <w:p>
            <w:r>
              <w:rPr>
                <w:b/>
                <w:color w:val="FFFFFF"/>
                <w:sz w:val="16"/>
              </w:rPr>
              <w:t>Artefak</w:t>
            </w:r>
          </w:p>
        </w:tc>
        <w:tc>
          <w:tcPr>
            <w:tcW w:type="dxa" w:w="4997"/>
            <w:shd w:fill="17365D"/>
            <w:tcMar>
              <w:top w:w="80" w:type="dxa"/>
              <w:start w:w="80" w:type="dxa"/>
              <w:bottom w:w="80" w:type="dxa"/>
              <w:end w:w="80" w:type="dxa"/>
            </w:tcMar>
          </w:tcPr>
          <w:p>
            <w:r>
              <w:rPr>
                <w:b/>
                <w:color w:val="FFFFFF"/>
                <w:sz w:val="16"/>
              </w:rPr>
              <w:t>Alasan sebagai Bukti Dukung</w:t>
            </w:r>
          </w:p>
        </w:tc>
      </w:tr>
      <w:tr>
        <w:trPr>
          <w:cantSplit/>
        </w:trPr>
        <w:tc>
          <w:tcPr>
            <w:tcW w:type="dxa" w:w="3384"/>
            <w:tcMar>
              <w:top w:w="65" w:type="dxa"/>
              <w:start w:w="90" w:type="dxa"/>
              <w:bottom w:w="65" w:type="dxa"/>
              <w:end w:w="90" w:type="dxa"/>
            </w:tcMar>
            <w:vAlign w:val="top"/>
          </w:tcPr>
          <w:p>
            <w:pPr>
              <w:spacing w:after="0" w:line="240" w:lineRule="auto"/>
            </w:pPr>
            <w:r>
              <w:rPr>
                <w:rFonts w:ascii="Aptos" w:hAnsi="Aptos" w:eastAsia="Aptos"/>
                <w:b w:val="0"/>
                <w:color w:val="2D3742"/>
                <w:sz w:val="16"/>
              </w:rPr>
              <w:t>Tugas mata kuliah terkait keragaman/pembelajaran inklusif</w:t>
            </w:r>
          </w:p>
        </w:tc>
        <w:tc>
          <w:tcPr>
            <w:tcW w:type="dxa" w:w="6552"/>
            <w:tcMar>
              <w:top w:w="65" w:type="dxa"/>
              <w:start w:w="90" w:type="dxa"/>
              <w:bottom w:w="65" w:type="dxa"/>
              <w:end w:w="90" w:type="dxa"/>
            </w:tcMar>
            <w:vAlign w:val="top"/>
          </w:tcPr>
          <w:p>
            <w:pPr>
              <w:spacing w:after="0" w:line="240" w:lineRule="auto"/>
            </w:pPr>
            <w:r>
              <w:rPr>
                <w:rFonts w:ascii="Aptos" w:hAnsi="Aptos" w:eastAsia="Aptos"/>
                <w:b w:val="0"/>
                <w:color w:val="2D3742"/>
                <w:sz w:val="16"/>
              </w:rPr>
              <w:t>Artefak yang paling sesuai adalah tugas yang benar-benar membahas karakteristik murid, hambatan belajar, atau desain dukungan. Gunakan bagian yang menunjukkan bagaimana informasi tentang kebutuhan diterjemahkan ke dalam keputusan pedagogik, bukan hanya definisi inklusi.</w:t>
            </w:r>
          </w:p>
        </w:tc>
      </w:tr>
      <w:tr>
        <w:trPr>
          <w:cantSplit/>
        </w:trPr>
        <w:tc>
          <w:tcPr>
            <w:tcW w:type="dxa" w:w="3384"/>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Rancangan pembelajaran atau asesmen yang memberi dukungan bertahap</w:t>
            </w:r>
          </w:p>
        </w:tc>
        <w:tc>
          <w:tcPr>
            <w:tcW w:type="dxa" w:w="6552"/>
            <w:tcMar>
              <w:top w:w="65" w:type="dxa"/>
              <w:start w:w="90" w:type="dxa"/>
              <w:bottom w:w="65" w:type="dxa"/>
              <w:end w:w="90" w:type="dxa"/>
            </w:tcMar>
            <w:vAlign w:val="top"/>
            <w:shd w:fill="F3F6F8"/>
          </w:tcPr>
          <w:p>
            <w:pPr>
              <w:spacing w:after="0" w:line="240" w:lineRule="auto"/>
            </w:pPr>
            <w:r>
              <w:rPr>
                <w:rFonts w:ascii="Aptos" w:hAnsi="Aptos" w:eastAsia="Aptos"/>
                <w:b w:val="0"/>
                <w:color w:val="2D3742"/>
                <w:sz w:val="16"/>
              </w:rPr>
              <w:t>Artefak ini dapat memperlihatkan hubungan antara prinsip inklusi dan tindakan, seperti instruksi bertahap, contoh visual, pilihan partisipasi, atau pengecekan pemahaman. Tunjukkan bagian yang memang ada pada berkas asli.</w:t>
            </w:r>
          </w:p>
        </w:tc>
      </w:tr>
    </w:tbl>
    <w:p>
      <w:pPr>
        <w:pStyle w:val="Heading2"/>
      </w:pPr>
      <w:r>
        <w:t>Kaitan Praktis</w:t>
      </w:r>
    </w:p>
    <w:p>
      <w:r>
        <w:rPr>
          <w:rFonts w:ascii="Aptos" w:hAnsi="Aptos" w:eastAsia="Aptos"/>
        </w:rPr>
        <w:t>Kaitan praktis: kompetensi pedagogik diwujudkan melalui penyesuaian dukungan berdasarkan kebutuhan, kompetensi sosial melalui penghargaan terhadap perbedaan, dan kompetensi kepribadian melalui sikap adil serta tidak mempermalukan murid. Saya akan memeriksa efektivitas dukungan lewat partisipasi dan hasil kerja, bukan hanya karena perangkat ajar telah mencantumkan prinsip inklusi.</w:t>
      </w:r>
    </w:p>
    <w:p>
      <w:pPr>
        <w:pStyle w:val="Heading1"/>
      </w:pPr>
      <w:r>
        <w:t>Refleksi Umum Semester I</w:t>
      </w:r>
    </w:p>
    <w:p>
      <w:r>
        <w:rPr>
          <w:rFonts w:ascii="Aptos" w:hAnsi="Aptos" w:eastAsia="Aptos"/>
        </w:rPr>
        <w:t>Secara keseluruhan, Semester I membantu saya membangun landasan bahwa menjadi guru bukan hanya persoalan mampu menjelaskan materi. Guru perlu memiliki orientasi nilai, memahami peserta didik, merancang pembelajaran dan asesmen yang selaras, serta bersedia mengevaluasi cara mengajar. PPL memberi gambaran bahwa metode perlu disesuaikan dengan tujuan dan respons murid, sedangkan pengalaman saya kembali dari pekerjaan kreatif mengingatkan bahwa penguasaan materi perlu dipelihara melalui belajar terarah. Perkembangan profesional harus terlihat dalam perubahan keputusan dan praktik, bukan hanya dalam pengetahuan tentang teori.</w:t>
      </w:r>
    </w:p>
    <w:p>
      <w:r>
        <w:br w:type="page"/>
      </w:r>
    </w:p>
    <w:p>
      <w:pPr>
        <w:pStyle w:val="Heading1"/>
      </w:pPr>
      <w:r>
        <w:t>Sintesis Perkembangan Kompetensi Guru - Semester I</w:t>
      </w:r>
    </w:p>
    <w:p>
      <w:pPr>
        <w:spacing w:after="120"/>
      </w:pPr>
      <w:r>
        <w:t>Peta berikut menghubungkan refleksi Semester I dengan empat kompetensi guru sebagaimana disebut dalam Undang-Undang Nomor 14 Tahun 2005 tentang Guru dan Dosen, Pasal 10. Pemetaan ini adalah penilaian pengembangan diri, bukan klaim bahwa setiap kompetensi telah dikuasai sepenuhnya.</w:t>
      </w:r>
    </w:p>
    <w:tbl>
      <w:tblPr>
        <w:tblW w:type="auto" w:w="0"/>
        <w:jc w:val="center"/>
        <w:tblLayout w:type="fixed"/>
        <w:tblLook w:firstColumn="1" w:firstRow="1" w:lastColumn="0" w:lastRow="0" w:noHBand="0" w:noVBand="1" w:val="04A0"/>
      </w:tblPr>
      <w:tblGrid>
        <w:gridCol w:w="1872"/>
        <w:gridCol w:w="4104"/>
        <w:gridCol w:w="4032"/>
      </w:tblGrid>
      <w:tr>
        <w:trPr>
          <w:tblHeader w:val="true"/>
        </w:trPr>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Kompetensi</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Bukti/Refleksi yang Relevan</w:t>
            </w:r>
          </w:p>
        </w:tc>
        <w:tc>
          <w:tcPr>
            <w:tcW w:type="dxa" w:w="3331"/>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Fokus Pengembangan Berikutnya</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Pedagogik</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Memahami keragaman murid, menyusun pembelajaran dan asesmen yang selaras, serta menyesuaikan metode berdasarkan kebutuhan dan hasil belajar.</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Memperkuat asesmen formatif, cek pemahaman individual, dan tindak lanjut bagi murid yang membutuhkan bantuan atau pengayaan.</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Kepribadian</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Menjaga nilai, disiplin, tanggung jawab, keterbukaan pada masukan, dan kesediaan mengakui area yang belum dikuasai.</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Membuat refleksi setelah mengajar yang memuat bukti, keputusan, dan satu perubahan spesifik.</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Sosial</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Membangun hubungan yang menghargai murid, berkomunikasi secara jelas, dan menggunakan masukan dari pembimbing sebagai sumber belajar.</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Melatih komunikasi yang santai tetapi tetap terarah, serta memberikan umpan balik tanpa merendahkan.</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Profesional</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Menyegarkan kembali materi Informatika, berlatih coding, menyiapkan contoh yang akurat, dan menghubungkan konsep dengan praktik.</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Menetapkan target penguasaan materi sebelum mengajar serta memperbarui pengetahuan melalui sumber tepercaya dan komunitas guru.</w:t>
            </w:r>
          </w:p>
        </w:tc>
      </w:tr>
    </w:tbl>
    <w:p>
      <w:pPr>
        <w:pStyle w:val="Heading1"/>
      </w:pPr>
      <w:r>
        <w:t>Sintesis Refleksi Semester I dengan Rencana Inovasi</w:t>
      </w:r>
    </w:p>
    <w:p>
      <w:pPr>
        <w:spacing w:after="100"/>
      </w:pPr>
      <w:r>
        <w:t>Semester I memberi landasan konseptual bagi rencana pengembangan Ruang Informatika SMA. Pemahaman tentang peserta didik menjadi alasan bahwa platform perlu menyediakan cek awal dan jalur dukungan, bukan memberi aktivitas yang sama tanpa mempertimbangkan kesiapan. Pembelajaran mendalam dan asesmen menjadi dasar agar setiap pertemuan menghubungkan tujuan, materi, aktivitas, bukti pemahaman, dan tindak lanjut. Pendidikan nilai serta PSE mengingatkan bahwa forum dan dashboard harus menjaga komunikasi yang menghargai, privasi, serta rasa aman murid.</w:t>
      </w:r>
    </w:p>
    <w:p>
      <w:pPr>
        <w:spacing w:after="100"/>
      </w:pPr>
      <w:r>
        <w:t>Pada tahap ini, Ruang Informatika SMA masih merupakan rencana pengembangan yang perlu divalidasi, bukan bukti bahwa masalah pembelajaran telah terselesaikan. Saya akan menggunakan prinsip dari Semester I untuk menilai setiap fitur: apakah benar-benar membantu tujuan belajar, apakah dapat diakses murid dengan kondisi berbeda, dan apakah informasi yang dihasilkan dapat ditindaklanjuti guru secara profesional.</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top"/>
            <w:shd w:fill="17365D"/>
          </w:tcPr>
          <w:p>
            <w:pPr>
              <w:spacing w:after="40" w:line="240" w:lineRule="auto"/>
            </w:pPr>
            <w:r>
              <w:rPr>
                <w:rFonts w:ascii="Aptos" w:hAnsi="Aptos"/>
                <w:b/>
                <w:color w:val="FFFFFF"/>
                <w:sz w:val="16"/>
              </w:rPr>
              <w:t>Landasan dari Semester I</w:t>
            </w:r>
          </w:p>
        </w:tc>
        <w:tc>
          <w:tcPr>
            <w:tcW w:type="dxa" w:w="3331"/>
            <w:vAlign w:val="top"/>
            <w:shd w:fill="17365D"/>
          </w:tcPr>
          <w:p>
            <w:pPr>
              <w:spacing w:after="40" w:line="240" w:lineRule="auto"/>
            </w:pPr>
            <w:r>
              <w:rPr>
                <w:rFonts w:ascii="Aptos" w:hAnsi="Aptos"/>
                <w:b/>
                <w:color w:val="FFFFFF"/>
                <w:sz w:val="16"/>
              </w:rPr>
              <w:t>Penerapan dalam Ruang Informatika SMA</w:t>
            </w:r>
          </w:p>
        </w:tc>
        <w:tc>
          <w:tcPr>
            <w:tcW w:type="dxa" w:w="3331"/>
            <w:vAlign w:val="top"/>
            <w:shd w:fill="17365D"/>
          </w:tcPr>
          <w:p>
            <w:pPr>
              <w:spacing w:after="40" w:line="240" w:lineRule="auto"/>
            </w:pPr>
            <w:r>
              <w:rPr>
                <w:rFonts w:ascii="Aptos" w:hAnsi="Aptos"/>
                <w:b/>
                <w:color w:val="FFFFFF"/>
                <w:sz w:val="16"/>
              </w:rPr>
              <w:t>Bukti yang perlu dikumpulkan</w:t>
            </w:r>
          </w:p>
        </w:tc>
      </w:tr>
      <w:tr>
        <w:tc>
          <w:tcPr>
            <w:tcW w:type="dxa" w:w="3331"/>
            <w:vAlign w:val="top"/>
          </w:tcPr>
          <w:p>
            <w:pPr>
              <w:spacing w:after="40" w:line="240" w:lineRule="auto"/>
            </w:pPr>
            <w:r>
              <w:rPr>
                <w:rFonts w:ascii="Aptos" w:hAnsi="Aptos"/>
                <w:sz w:val="16"/>
              </w:rPr>
              <w:t>Pemahaman peserta didik</w:t>
            </w:r>
          </w:p>
        </w:tc>
        <w:tc>
          <w:tcPr>
            <w:tcW w:type="dxa" w:w="3331"/>
            <w:vAlign w:val="top"/>
          </w:tcPr>
          <w:p>
            <w:pPr>
              <w:spacing w:after="40" w:line="240" w:lineRule="auto"/>
            </w:pPr>
            <w:r>
              <w:rPr>
                <w:rFonts w:ascii="Aptos" w:hAnsi="Aptos"/>
                <w:sz w:val="16"/>
              </w:rPr>
              <w:t>Cek awal per topik dan keterampilan prasyarat; opsi materi dasar dan pengayaan.</w:t>
            </w:r>
          </w:p>
        </w:tc>
        <w:tc>
          <w:tcPr>
            <w:tcW w:type="dxa" w:w="3331"/>
            <w:vAlign w:val="top"/>
          </w:tcPr>
          <w:p>
            <w:pPr>
              <w:spacing w:after="40" w:line="240" w:lineRule="auto"/>
            </w:pPr>
            <w:r>
              <w:rPr>
                <w:rFonts w:ascii="Aptos" w:hAnsi="Aptos"/>
                <w:sz w:val="16"/>
              </w:rPr>
              <w:t>Hasil cek awal, pola kesulitan, serta tindak lanjut guru.</w:t>
            </w:r>
          </w:p>
        </w:tc>
      </w:tr>
      <w:tr>
        <w:tc>
          <w:tcPr>
            <w:tcW w:type="dxa" w:w="3331"/>
            <w:vAlign w:val="top"/>
            <w:shd w:fill="F1F6F7"/>
          </w:tcPr>
          <w:p>
            <w:pPr>
              <w:spacing w:after="40" w:line="240" w:lineRule="auto"/>
            </w:pPr>
            <w:r>
              <w:rPr>
                <w:rFonts w:ascii="Aptos" w:hAnsi="Aptos"/>
                <w:sz w:val="16"/>
              </w:rPr>
              <w:t>Pembelajaran dan asesmen yang selaras</w:t>
            </w:r>
          </w:p>
        </w:tc>
        <w:tc>
          <w:tcPr>
            <w:tcW w:type="dxa" w:w="3331"/>
            <w:vAlign w:val="top"/>
            <w:shd w:fill="F1F6F7"/>
          </w:tcPr>
          <w:p>
            <w:pPr>
              <w:spacing w:after="40" w:line="240" w:lineRule="auto"/>
            </w:pPr>
            <w:r>
              <w:rPr>
                <w:rFonts w:ascii="Aptos" w:hAnsi="Aptos"/>
                <w:sz w:val="16"/>
              </w:rPr>
              <w:t>Setiap pertemuan memiliki tujuan, aktivitas, LKPD, asesmen formatif, dan refleksi.</w:t>
            </w:r>
          </w:p>
        </w:tc>
        <w:tc>
          <w:tcPr>
            <w:tcW w:type="dxa" w:w="3331"/>
            <w:vAlign w:val="top"/>
            <w:shd w:fill="F1F6F7"/>
          </w:tcPr>
          <w:p>
            <w:pPr>
              <w:spacing w:after="40" w:line="240" w:lineRule="auto"/>
            </w:pPr>
            <w:r>
              <w:rPr>
                <w:rFonts w:ascii="Aptos" w:hAnsi="Aptos"/>
                <w:sz w:val="16"/>
              </w:rPr>
              <w:t>Kesesuaian tujuan dengan instrumen dan kualitas jawaban murid.</w:t>
            </w:r>
          </w:p>
        </w:tc>
      </w:tr>
      <w:tr>
        <w:tc>
          <w:tcPr>
            <w:tcW w:type="dxa" w:w="3331"/>
            <w:vAlign w:val="top"/>
          </w:tcPr>
          <w:p>
            <w:pPr>
              <w:spacing w:after="40" w:line="240" w:lineRule="auto"/>
            </w:pPr>
            <w:r>
              <w:rPr>
                <w:rFonts w:ascii="Aptos" w:hAnsi="Aptos"/>
                <w:sz w:val="16"/>
              </w:rPr>
              <w:t>Pendidikan nilai dan PSE</w:t>
            </w:r>
          </w:p>
        </w:tc>
        <w:tc>
          <w:tcPr>
            <w:tcW w:type="dxa" w:w="3331"/>
            <w:vAlign w:val="top"/>
          </w:tcPr>
          <w:p>
            <w:pPr>
              <w:spacing w:after="40" w:line="240" w:lineRule="auto"/>
            </w:pPr>
            <w:r>
              <w:rPr>
                <w:rFonts w:ascii="Aptos" w:hAnsi="Aptos"/>
                <w:sz w:val="16"/>
              </w:rPr>
              <w:t>Aturan forum, umpan balik yang santun, refleksi, dan pengelolaan data secara etis.</w:t>
            </w:r>
          </w:p>
        </w:tc>
        <w:tc>
          <w:tcPr>
            <w:tcW w:type="dxa" w:w="3331"/>
            <w:vAlign w:val="top"/>
          </w:tcPr>
          <w:p>
            <w:pPr>
              <w:spacing w:after="40" w:line="240" w:lineRule="auto"/>
            </w:pPr>
            <w:r>
              <w:rPr>
                <w:rFonts w:ascii="Aptos" w:hAnsi="Aptos"/>
                <w:sz w:val="16"/>
              </w:rPr>
              <w:t>Kualitas kontribusi, umpan balik, dan catatan moderasi.</w:t>
            </w:r>
          </w:p>
        </w:tc>
      </w:tr>
      <w:tr>
        <w:tc>
          <w:tcPr>
            <w:tcW w:type="dxa" w:w="3331"/>
            <w:vAlign w:val="top"/>
            <w:shd w:fill="F1F6F7"/>
          </w:tcPr>
          <w:p>
            <w:pPr>
              <w:spacing w:after="40" w:line="240" w:lineRule="auto"/>
            </w:pPr>
            <w:r>
              <w:rPr>
                <w:rFonts w:ascii="Aptos" w:hAnsi="Aptos"/>
                <w:sz w:val="16"/>
              </w:rPr>
              <w:t>Growth mindset dan refleksi</w:t>
            </w:r>
          </w:p>
        </w:tc>
        <w:tc>
          <w:tcPr>
            <w:tcW w:type="dxa" w:w="3331"/>
            <w:vAlign w:val="top"/>
            <w:shd w:fill="F1F6F7"/>
          </w:tcPr>
          <w:p>
            <w:pPr>
              <w:spacing w:after="40" w:line="240" w:lineRule="auto"/>
            </w:pPr>
            <w:r>
              <w:rPr>
                <w:rFonts w:ascii="Aptos" w:hAnsi="Aptos"/>
                <w:sz w:val="16"/>
              </w:rPr>
              <w:t>Kesempatan memperbaiki tugas dan mencoba kembali setelah mendapat umpan balik.</w:t>
            </w:r>
          </w:p>
        </w:tc>
        <w:tc>
          <w:tcPr>
            <w:tcW w:type="dxa" w:w="3331"/>
            <w:vAlign w:val="top"/>
            <w:shd w:fill="F1F6F7"/>
          </w:tcPr>
          <w:p>
            <w:pPr>
              <w:spacing w:after="40" w:line="240" w:lineRule="auto"/>
            </w:pPr>
            <w:r>
              <w:rPr>
                <w:rFonts w:ascii="Aptos" w:hAnsi="Aptos"/>
                <w:sz w:val="16"/>
              </w:rPr>
              <w:t>Riwayat revisi dan perkembangan hasil belajar, bukan sekadar skor akhir.</w:t>
            </w:r>
          </w:p>
        </w:tc>
      </w:tr>
    </w:tbl>
    <w:p>
      <w:pPr>
        <w:spacing w:after="20"/>
      </w:pPr>
    </w:p>
    <w:p>
      <w:pPr>
        <w:pStyle w:val="Heading2"/>
      </w:pPr>
      <w:r>
        <w:t>Kaitan Refleksi Semester I dengan SDGs</w:t>
      </w:r>
    </w:p>
    <w:p>
      <w:r>
        <w:t>Pemahaman terhadap peserta didik, pembelajaran berdiferensiasi, pendidikan nilai, dan asesmen memberi landasan bagi kontribusi yang diupayakan terhadap SDG 4 (Pendidikan Berkualitas), terutama keterampilan yang relevan dan kesempatan belajar yang inklusif. Prinsip menghargai perbedaan juga sejalan dengan SDG 10 (Berkurangnya Kesenjangan): dalam Ruang Informatika SMA, murid perlu memperoleh pilihan penjelasan, latihan bertahap, dan dukungan sesuai kebutuhan tanpa diberi label tetap. Pemanfaatan teknologi dan aktivitas interaktif berkaitan dengan SDG 9 (Industri, Inovasi, dan Infrastruktur) ketika digunakan untuk membangun kecakapan digital dan pemecahan masalah, bukan sekadar membuat tampilan menarik. Ini adalah arah pengembangan yang akan diuji melalui penggunaan dan umpan balik, bukan hasil dampak yang sudah terukur.</w:t>
      </w:r>
    </w:p>
    <w:sectPr w:rsidR="00FC693F" w:rsidRPr="0006063C" w:rsidSect="00034616">
      <w:headerReference w:type="default" r:id="rId9"/>
      <w:footerReference w:type="default" r:id="rId10"/>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LK 2 - Refleksi Semester I  |  Yadi Hapriadi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SEMINAR PENDIDIKAN PROFESI GURU  |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46B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2 Refleksi Pengalaman Belajar Semester I - Versi Mendalam</dc:title>
  <dc:subject>Seminar Pendidikan Profesi Guru - PPG Informatika</dc:subject>
  <dc:creator>Yadi Hapriadi</dc:creator>
  <cp:keywords/>
  <dc:description>generated by python-docx</dc:description>
  <cp:lastModifiedBy/>
  <cp:revision>1</cp:revision>
  <dcterms:created xsi:type="dcterms:W3CDTF">2013-12-23T23:15:00Z</dcterms:created>
  <dcterms:modified xsi:type="dcterms:W3CDTF">2013-12-23T23:15:00Z</dcterms:modified>
  <cp:category/>
</cp:coreProperties>
</file>