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6B75"/>
          <w:sz w:val="22"/>
        </w:rPr>
        <w:t>LEMBAR KERJA 3</w:t>
      </w:r>
    </w:p>
    <w:p>
      <w:pPr>
        <w:pStyle w:val="Title"/>
        <w:jc w:val="center"/>
      </w:pPr>
      <w:r>
        <w:t>REFLEKSI PENGALAMAN BELAJAR</w:t>
        <w:br/>
        <w:t>SELAMA MENGIKUTI PROGRAM PPG</w:t>
      </w:r>
    </w:p>
    <w:p>
      <w:pPr>
        <w:jc w:val="center"/>
      </w:pPr>
      <w:r>
        <w:rPr>
          <w:i/>
          <w:color w:val="5A6978"/>
          <w:sz w:val="20"/>
        </w:rPr>
        <w:t>Pandangan, Pengembangan Profesional, dan Rencana Tindak Lanjut</w:t>
      </w:r>
    </w:p>
    <w:tbl>
      <w:tblPr>
        <w:tblW w:type="auto" w:w="0"/>
        <w:jc w:val="center"/>
        <w:tblLayout w:type="fixed"/>
        <w:tblLook w:firstColumn="1" w:firstRow="1" w:lastColumn="0" w:lastRow="0" w:noHBand="0" w:noVBand="1" w:val="04A0"/>
      </w:tblPr>
      <w:tblGrid>
        <w:gridCol w:w="2016"/>
        <w:gridCol w:w="7776"/>
      </w:tblGrid>
      <w:tr>
        <w:tc>
          <w:tcPr>
            <w:tcW w:type="dxa" w:w="4968"/>
            <w:shd w:fill="E7F0F2"/>
            <w:tcMar>
              <w:top w:w="80" w:type="dxa"/>
              <w:start w:w="100" w:type="dxa"/>
              <w:bottom w:w="80" w:type="dxa"/>
              <w:end w:w="100" w:type="dxa"/>
            </w:tcMar>
            <w:vAlign w:val="center"/>
          </w:tcPr>
          <w:p>
            <w:pPr>
              <w:spacing w:after="0"/>
            </w:pPr>
            <w:r>
              <w:rPr>
                <w:b/>
                <w:sz w:val="19"/>
              </w:rPr>
              <w:t>Nama</w:t>
            </w:r>
          </w:p>
        </w:tc>
        <w:tc>
          <w:tcPr>
            <w:tcW w:type="dxa" w:w="4968"/>
            <w:tcMar>
              <w:top w:w="80" w:type="dxa"/>
              <w:start w:w="100" w:type="dxa"/>
              <w:bottom w:w="80" w:type="dxa"/>
              <w:end w:w="100" w:type="dxa"/>
            </w:tcMar>
            <w:vAlign w:val="center"/>
          </w:tcPr>
          <w:p>
            <w:pPr>
              <w:spacing w:after="0"/>
            </w:pPr>
            <w:r>
              <w:rPr>
                <w:sz w:val="19"/>
              </w:rPr>
              <w:t>Yadi Hapriadi</w:t>
            </w:r>
          </w:p>
        </w:tc>
      </w:tr>
      <w:tr>
        <w:tc>
          <w:tcPr>
            <w:tcW w:type="dxa" w:w="4968"/>
            <w:shd w:fill="E7F0F2"/>
            <w:tcMar>
              <w:top w:w="80" w:type="dxa"/>
              <w:start w:w="100" w:type="dxa"/>
              <w:bottom w:w="80" w:type="dxa"/>
              <w:end w:w="100" w:type="dxa"/>
            </w:tcMar>
            <w:vAlign w:val="center"/>
          </w:tcPr>
          <w:p>
            <w:pPr>
              <w:spacing w:after="0"/>
            </w:pPr>
            <w:r>
              <w:rPr>
                <w:b/>
                <w:sz w:val="19"/>
              </w:rPr>
              <w:t>NIM</w:t>
            </w:r>
          </w:p>
        </w:tc>
        <w:tc>
          <w:tcPr>
            <w:tcW w:type="dxa" w:w="4968"/>
            <w:tcMar>
              <w:top w:w="80" w:type="dxa"/>
              <w:start w:w="100" w:type="dxa"/>
              <w:bottom w:w="80" w:type="dxa"/>
              <w:end w:w="100" w:type="dxa"/>
            </w:tcMar>
            <w:vAlign w:val="center"/>
          </w:tcPr>
          <w:p>
            <w:pPr>
              <w:spacing w:after="0"/>
            </w:pPr>
            <w:r>
              <w:rPr>
                <w:sz w:val="19"/>
              </w:rPr>
              <w:t>2531094</w:t>
            </w:r>
          </w:p>
        </w:tc>
      </w:tr>
      <w:tr>
        <w:tc>
          <w:tcPr>
            <w:tcW w:type="dxa" w:w="4968"/>
            <w:shd w:fill="E7F0F2"/>
            <w:tcMar>
              <w:top w:w="80" w:type="dxa"/>
              <w:start w:w="100" w:type="dxa"/>
              <w:bottom w:w="80" w:type="dxa"/>
              <w:end w:w="100" w:type="dxa"/>
            </w:tcMar>
            <w:vAlign w:val="center"/>
          </w:tcPr>
          <w:p>
            <w:pPr>
              <w:spacing w:after="0"/>
            </w:pPr>
            <w:r>
              <w:rPr>
                <w:b/>
                <w:sz w:val="19"/>
              </w:rPr>
              <w:t>Program Studi</w:t>
            </w:r>
          </w:p>
        </w:tc>
        <w:tc>
          <w:tcPr>
            <w:tcW w:type="dxa" w:w="4968"/>
            <w:tcMar>
              <w:top w:w="80" w:type="dxa"/>
              <w:start w:w="100" w:type="dxa"/>
              <w:bottom w:w="80" w:type="dxa"/>
              <w:end w:w="100" w:type="dxa"/>
            </w:tcMar>
            <w:vAlign w:val="center"/>
          </w:tcPr>
          <w:p>
            <w:pPr>
              <w:spacing w:after="0"/>
            </w:pPr>
            <w:r>
              <w:rPr>
                <w:sz w:val="19"/>
              </w:rPr>
              <w:t>PPG Informatika - Universitas Pendidikan Indonesia</w:t>
            </w:r>
          </w:p>
        </w:tc>
      </w:tr>
    </w:tbl>
    <w:p>
      <w:pPr>
        <w:pStyle w:val="Heading1"/>
      </w:pPr>
      <w:r>
        <w:t>1. Setelah mengikuti serangkaian refleksi pengalaman belajar, saya menyadari bahwa pendidikan di Indonesia seharusnya ...</w:t>
      </w:r>
    </w:p>
    <w:p>
      <w:r>
        <w:rPr>
          <w:rFonts w:ascii="Aptos" w:hAnsi="Aptos" w:eastAsia="Aptos"/>
        </w:rPr>
        <w:t>... menjadi proses yang berorientasi pada perkembangan murid secara utuh. Pendidikan perlu membantu murid memahami konsep, menggunakannya dalam situasi nyata, membentuk karakter, dan belajar hidup bersama orang lain. Kemajuan tidak seharusnya hanya dilihat dari terselesaikannya materi atau nilai akhir, tetapi juga dari perkembangan penalaran, keterampilan, tanggung jawab, dan kemandirian. Di tengah perkembangan teknologi, pendidikan perlu mengembangkan literasi digital sekaligus membangun kesadaran etika, privasi, hak cipta, dan kemampuan menilai informasi. Untuk mewujudkannya, guru dan sekolah perlu mengambil keputusan berdasarkan kebutuhan murid dan bukti belajar, bukan hanya kebiasaan atau asumsi.</w:t>
      </w:r>
    </w:p>
    <w:p>
      <w:r>
        <w:rPr>
          <w:rFonts w:ascii="Aptos" w:hAnsi="Aptos" w:eastAsia="Aptos"/>
        </w:rPr>
        <w:t>Pandangan tersebut juga berakar pada pengalaman saya sebagai murid di SMPN 4 Garut. Pak Asep Kusdian saya ingat sebagai sosok yang suportif dan memotivasi, sedangkan Bu Nunung Zamilah tegas dalam kedisiplinan tetapi tetap membuat suasana kelas nyaman. Pengalaman itu membentuk gambaran bahwa guru dapat menjaga standar tanpa menimbulkan rasa takut. Sebaliknya, pengalaman saya di SMKN 2 Garut ketika beberapa pembelajaran kurang konsisten karena ketidakhadiran guru membuat saya memahami pentingnya tanggung jawab dan kehadiran guru. Kedua pengalaman tersebut bukan untuk menilai semua situasi sekolah secara sederhana, tetapi menjadi pengingat bahwa keteladanan, konsistensi, dan relasi sehari-hari memengaruhi pengalaman belajar murid.</w:t>
      </w:r>
    </w:p>
    <w:p>
      <w:r>
        <w:rPr>
          <w:rFonts w:ascii="Aptos" w:hAnsi="Aptos" w:eastAsia="Aptos"/>
        </w:rPr>
        <w:t>PPL di SMAN 24 Bandung membuat pandangan itu lebih konkret. Pada pembelajaran Word, saya telah menggunakan Google Form untuk mengetahui gambaran umum kesiapan murid, tetapi saat praktik berlangsung saya mengetahui beberapa murid belum menguasai keterampilan dasar komputer. Saya menjelaskan ulang, memberi pendampingan individual, melibatkan teman sebaya, dan memberi contoh kembali; akibatnya, sebagian materi harus dipercepat. Sebaliknya, pada Sorting, pembagian tugas kelompok, hasil LKPD, dan praktik/presentasi berjalan baik menurut pengamatan saya setelah murid mendapat contoh, simulasi kartu, dan perbandingan langkah algoritma. Dua pengalaman ini mengajarkan saya agar tidak menganggap satu strategi selalu cocok untuk semua materi dan kondisi.</w:t>
      </w:r>
    </w:p>
    <w:p>
      <w:pPr>
        <w:pStyle w:val="Heading1"/>
      </w:pPr>
      <w:r>
        <w:t>2. Saya menyadari bahwa untuk menjadi guru profesional, saya harus ...</w:t>
      </w:r>
    </w:p>
    <w:p>
      <w:r>
        <w:rPr>
          <w:rFonts w:ascii="Aptos" w:hAnsi="Aptos" w:eastAsia="Aptos"/>
        </w:rPr>
        <w:t>... mengembangkan empat kompetensi guru secara terpadu: pedagogik, kepribadian, sosial, dan profesional. Kompetensi pedagogik berarti memahami murid, merancang pembelajaran, mengelola proses, dan menggunakan asesmen untuk menentukan tindak lanjut. Kompetensi kepribadian perlu tampak dalam tanggung jawab, keteladanan, pengelolaan emosi, dan refleksi diri. Kompetensi sosial tampak dalam komunikasi yang menghargai serta kolaborasi dengan murid dan warga sekolah. Kompetensi profesional menuntut penguasaan materi Informatika dan kemauan memperbarui pengetahuan. Bagi saya, kompetensi tersebut tidak terpisah; ketepatan materi akan kurang berdampak jika penjelasannya tidak sesuai kebutuhan murid, sementara media menarik tidak cukup jika isi dan asesmennya kurang akurat.</w:t>
      </w:r>
    </w:p>
    <w:p>
      <w:pPr>
        <w:keepLines/>
      </w:pPr>
      <w:r>
        <w:rPr>
          <w:rFonts w:ascii="Aptos" w:hAnsi="Aptos" w:eastAsia="Aptos"/>
        </w:rPr>
        <w:t>Perjalanan saya menunjukkan bahwa kompetensi perlu dipelihara dan dibangun secara aktif. Setelah lulus S1 Pendidikan Teknologi Informasi, saya bekerja sebagai Social Media Specialist di Larisko karena belum percaya diri langsung menjadi guru. Saat kembali melalui PPG, saya menyadari bahwa pengetahuan Informatika dan pedagogi perlu saya segarkan. Saya membaca ulang materi, mencari referensi, berlatih coding, menyusun PPT sambil memahami isinya, dan berdiskusi dengan pihak yang lebih berpengalaman. Langkah tersebut menunjukkan kemauan belajar, tetapi saya tidak akan menganggap banyaknya persiapan sebagai bukti otomatis bahwa saya sudah kompeten. Saya perlu memeriksa ketepatan penjelasan, kualitas contoh, respons murid, dan ketercapaian tujuan untuk mengetahui apakah persiapan itu efektif.</w:t>
      </w:r>
    </w:p>
    <w:p>
      <w:r>
        <w:rPr>
          <w:rFonts w:ascii="Aptos" w:hAnsi="Aptos" w:eastAsia="Aptos"/>
        </w:rPr>
        <w:t>Saya mendapat pengalaman positif ketika murid menyampaikan kesan bahwa pembelajaran saya menarik, termasuk pada acara perpisahan. Saya menghubungkan respons tersebut dengan kebiasaan mempersiapkan materi dan PPT sebelum mengajar. Hal itu meningkatkan kepercayaan diri saya dibandingkan saat baru lulus S1. Namun, respons positif perlu dibaca secara proporsional: murid yang merasa senang belum tentu otomatis menguasai seluruh tujuan pembelajaran. Karena itu, saya perlu menggabungkan umpan balik murid dengan bukti yang lebih langsung, seperti hasil LKPD, praktik, penjelasan konsep, dan asesmen. Kekuatan saya dalam kreativitas perlu dikembangkan bersama keterampilan asesmen dan pengelolaan waktu.</w:t>
      </w:r>
    </w:p>
    <w:p>
      <w:pPr>
        <w:pStyle w:val="Heading1"/>
      </w:pPr>
      <w:r>
        <w:t>3. Tiga hal penting yang akan saya lakukan ketika memulai karier sebagai guru</w:t>
      </w:r>
    </w:p>
    <w:tbl>
      <w:tblPr>
        <w:tblStyle w:val="TableGrid"/>
        <w:tblW w:type="auto" w:w="0"/>
        <w:jc w:val="center"/>
        <w:tblLayout w:type="autofit"/>
        <w:tblLook w:firstColumn="1" w:firstRow="1" w:lastColumn="0" w:lastRow="0" w:noHBand="0" w:noVBand="1" w:val="04A0"/>
      </w:tblPr>
      <w:tblGrid>
        <w:gridCol w:w="2088"/>
        <w:gridCol w:w="4824"/>
        <w:gridCol w:w="2880"/>
      </w:tblGrid>
      <w:tr>
        <w:trPr>
          <w:tblHeader w:val="true"/>
        </w:trPr>
        <w:tc>
          <w:tcPr>
            <w:tcW w:type="dxa" w:w="3312"/>
            <w:shd w:fill="17365D"/>
            <w:tcMar>
              <w:top w:w="80" w:type="dxa"/>
              <w:start w:w="100" w:type="dxa"/>
              <w:bottom w:w="80" w:type="dxa"/>
              <w:end w:w="100" w:type="dxa"/>
            </w:tcMar>
            <w:vAlign w:val="top"/>
            <w:shd w:fill="17365D"/>
          </w:tcPr>
          <w:p>
            <w:pPr>
              <w:spacing w:after="40" w:line="240" w:lineRule="auto"/>
            </w:pPr>
            <w:r>
              <w:rPr>
                <w:rFonts w:ascii="Aptos" w:hAnsi="Aptos"/>
                <w:b/>
                <w:color w:val="FFFFFF"/>
                <w:sz w:val="16"/>
              </w:rPr>
              <w:t>Prioritas</w:t>
            </w:r>
          </w:p>
        </w:tc>
        <w:tc>
          <w:tcPr>
            <w:tcW w:type="dxa" w:w="3312"/>
            <w:shd w:fill="17365D"/>
            <w:tcMar>
              <w:top w:w="80" w:type="dxa"/>
              <w:start w:w="100" w:type="dxa"/>
              <w:bottom w:w="80" w:type="dxa"/>
              <w:end w:w="100" w:type="dxa"/>
            </w:tcMar>
            <w:vAlign w:val="top"/>
            <w:shd w:fill="17365D"/>
          </w:tcPr>
          <w:p>
            <w:pPr>
              <w:spacing w:after="40" w:line="240" w:lineRule="auto"/>
            </w:pPr>
            <w:r>
              <w:rPr>
                <w:rFonts w:ascii="Aptos" w:hAnsi="Aptos"/>
                <w:b/>
                <w:color w:val="FFFFFF"/>
                <w:sz w:val="16"/>
              </w:rPr>
              <w:t>Langkah Konkret</w:t>
            </w:r>
          </w:p>
        </w:tc>
        <w:tc>
          <w:tcPr>
            <w:tcW w:type="dxa" w:w="3312"/>
            <w:shd w:fill="17365D"/>
            <w:tcMar>
              <w:top w:w="80" w:type="dxa"/>
              <w:start w:w="100" w:type="dxa"/>
              <w:bottom w:w="80" w:type="dxa"/>
              <w:end w:w="100" w:type="dxa"/>
            </w:tcMar>
            <w:vAlign w:val="top"/>
            <w:shd w:fill="17365D"/>
          </w:tcPr>
          <w:p>
            <w:pPr>
              <w:spacing w:after="40" w:line="240" w:lineRule="auto"/>
            </w:pPr>
            <w:r>
              <w:rPr>
                <w:rFonts w:ascii="Aptos" w:hAnsi="Aptos"/>
                <w:b/>
                <w:color w:val="FFFFFF"/>
                <w:sz w:val="16"/>
              </w:rPr>
              <w:t>Tanda Pelaksanaan</w:t>
            </w:r>
          </w:p>
        </w:tc>
      </w:tr>
      <w:tr>
        <w:trPr>
          <w:cantSplit/>
        </w:trPr>
        <w:tc>
          <w:tcPr>
            <w:tcW w:type="dxa" w:w="2088"/>
            <w:tcMar>
              <w:top w:w="80" w:type="dxa"/>
              <w:start w:w="100" w:type="dxa"/>
              <w:bottom w:w="80" w:type="dxa"/>
              <w:end w:w="100" w:type="dxa"/>
            </w:tcMar>
            <w:vAlign w:val="top"/>
          </w:tcPr>
          <w:p>
            <w:pPr>
              <w:spacing w:after="40" w:line="240" w:lineRule="auto"/>
            </w:pPr>
            <w:r>
              <w:rPr>
                <w:rFonts w:ascii="Aptos" w:hAnsi="Aptos" w:eastAsia="Aptos"/>
                <w:b w:val="0"/>
                <w:color w:val="2D3742"/>
                <w:sz w:val="16"/>
              </w:rPr>
              <w:t>1. Memperkuat perencanaan pedagogik dan asesmen yang responsif</w:t>
            </w:r>
          </w:p>
        </w:tc>
        <w:tc>
          <w:tcPr>
            <w:tcW w:type="dxa" w:w="4824"/>
            <w:tcMar>
              <w:top w:w="80" w:type="dxa"/>
              <w:start w:w="100" w:type="dxa"/>
              <w:bottom w:w="80" w:type="dxa"/>
              <w:end w:w="100" w:type="dxa"/>
            </w:tcMar>
            <w:vAlign w:val="top"/>
          </w:tcPr>
          <w:p>
            <w:pPr>
              <w:spacing w:after="40" w:line="240" w:lineRule="auto"/>
            </w:pPr>
            <w:r>
              <w:rPr>
                <w:rFonts w:ascii="Aptos" w:hAnsi="Aptos"/>
                <w:sz w:val="16"/>
              </w:rPr>
              <w:t>Sebelum setiap unit pembelajaran, merumuskan tujuan dan indikator; mengecek pengetahuan/keterampilan prasyarat yang relevan; menyiapkan contoh, panduan, dan alternatif bantuan; lalu mengumpulkan bukti formatif. Saya akan menerapkan prinsip tersebut dalam Ruang Informatika SMA: setiap pertemuan memuat tujuan, materi, aktivitas, LKPD, asesmen, forum, refleksi, dan tindak lanjut. Pengembangan dimulai dari satu unit lengkap, kemudian diperluas berdasarkan hasil uji.</w:t>
            </w:r>
          </w:p>
        </w:tc>
        <w:tc>
          <w:tcPr>
            <w:tcW w:type="dxa" w:w="2880"/>
            <w:tcMar>
              <w:top w:w="80" w:type="dxa"/>
              <w:start w:w="100" w:type="dxa"/>
              <w:bottom w:w="80" w:type="dxa"/>
              <w:end w:w="100" w:type="dxa"/>
            </w:tcMar>
            <w:vAlign w:val="top"/>
          </w:tcPr>
          <w:p>
            <w:pPr>
              <w:spacing w:after="40" w:line="240" w:lineRule="auto"/>
            </w:pPr>
            <w:r>
              <w:rPr>
                <w:rFonts w:ascii="Aptos" w:hAnsi="Aptos"/>
                <w:sz w:val="16"/>
              </w:rPr>
              <w:t>Perangkat ajar dan unit web menunjukkan keselarasan tujuan, aktivitas, asesmen, serta tindak lanjut. Tersedia hasil uji pengguna dan catatan revisi; pemahaman murid ditinjau melalui hasil kerja dan asesmen, bukan jumlah klik saja.</w:t>
            </w:r>
          </w:p>
        </w:tc>
      </w:tr>
      <w:tr>
        <w:trPr>
          <w:cantSplit/>
        </w:trPr>
        <w:tc>
          <w:tcPr>
            <w:tcW w:type="dxa" w:w="2088"/>
            <w:tcMar>
              <w:top w:w="80" w:type="dxa"/>
              <w:start w:w="100" w:type="dxa"/>
              <w:bottom w:w="80" w:type="dxa"/>
              <w:end w:w="100" w:type="dxa"/>
            </w:tcMar>
            <w:vAlign w:val="top"/>
            <w:shd w:fill="F3F6F8"/>
            <w:shd w:fill="F1F6F7"/>
          </w:tcPr>
          <w:p>
            <w:pPr>
              <w:spacing w:after="40" w:line="240" w:lineRule="auto"/>
            </w:pPr>
            <w:r>
              <w:rPr>
                <w:rFonts w:ascii="Aptos" w:hAnsi="Aptos" w:eastAsia="Aptos"/>
                <w:b w:val="0"/>
                <w:color w:val="2D3742"/>
                <w:sz w:val="16"/>
              </w:rPr>
              <w:t>2. Memelihara penguasaan profesional bidang Informatika</w:t>
            </w:r>
          </w:p>
        </w:tc>
        <w:tc>
          <w:tcPr>
            <w:tcW w:type="dxa" w:w="4824"/>
            <w:tcMar>
              <w:top w:w="80" w:type="dxa"/>
              <w:start w:w="100" w:type="dxa"/>
              <w:bottom w:w="80" w:type="dxa"/>
              <w:end w:w="100" w:type="dxa"/>
            </w:tcMar>
            <w:vAlign w:val="top"/>
            <w:shd w:fill="F3F6F8"/>
            <w:shd w:fill="F1F6F7"/>
          </w:tcPr>
          <w:p>
            <w:pPr>
              <w:spacing w:after="40" w:line="240" w:lineRule="auto"/>
            </w:pPr>
            <w:r>
              <w:rPr>
                <w:rFonts w:ascii="Aptos" w:hAnsi="Aptos"/>
                <w:sz w:val="16"/>
              </w:rPr>
              <w:t>Menetapkan waktu belajar mingguan untuk mengulang konsep Informatika, berlatih coding, memeriksa pembaruan teknologi/etika digital, dan membaca sumber tepercaya. Sebelum materi dimasukkan ke Ruang Informatika SMA, saya akan memeriksa ketepatan konsep, menguji simulasi/soal, menyelaraskan asesmen dengan tujuan, dan meminta masukan guru/rekan sejawat.</w:t>
            </w:r>
          </w:p>
        </w:tc>
        <w:tc>
          <w:tcPr>
            <w:tcW w:type="dxa" w:w="2880"/>
            <w:tcMar>
              <w:top w:w="80" w:type="dxa"/>
              <w:start w:w="100" w:type="dxa"/>
              <w:bottom w:w="80" w:type="dxa"/>
              <w:end w:w="100" w:type="dxa"/>
            </w:tcMar>
            <w:vAlign w:val="top"/>
            <w:shd w:fill="F3F6F8"/>
            <w:shd w:fill="F1F6F7"/>
          </w:tcPr>
          <w:p>
            <w:pPr>
              <w:spacing w:after="40" w:line="240" w:lineRule="auto"/>
            </w:pPr>
            <w:r>
              <w:rPr>
                <w:rFonts w:ascii="Aptos" w:hAnsi="Aptos"/>
                <w:sz w:val="16"/>
              </w:rPr>
              <w:t>Konten dan aktivitas telah ditelaah; contoh berjalan sesuai konsep; sumber materi tercatat; dan setiap revisi memiliki alasan berdasarkan masukan atau bukti penggunaan.</w:t>
            </w:r>
          </w:p>
        </w:tc>
      </w:tr>
      <w:tr>
        <w:trPr>
          <w:cantSplit/>
        </w:trPr>
        <w:tc>
          <w:tcPr>
            <w:tcW w:type="dxa" w:w="2088"/>
            <w:tcMar>
              <w:top w:w="80" w:type="dxa"/>
              <w:start w:w="100" w:type="dxa"/>
              <w:bottom w:w="80" w:type="dxa"/>
              <w:end w:w="100" w:type="dxa"/>
            </w:tcMar>
            <w:vAlign w:val="top"/>
          </w:tcPr>
          <w:p>
            <w:pPr>
              <w:spacing w:after="40" w:line="240" w:lineRule="auto"/>
            </w:pPr>
            <w:r>
              <w:rPr>
                <w:rFonts w:ascii="Aptos" w:hAnsi="Aptos" w:eastAsia="Aptos"/>
                <w:b w:val="0"/>
                <w:color w:val="2D3742"/>
                <w:sz w:val="16"/>
              </w:rPr>
              <w:t>3. Membangun relasi positif dan refleksi kolaboratif</w:t>
            </w:r>
          </w:p>
        </w:tc>
        <w:tc>
          <w:tcPr>
            <w:tcW w:type="dxa" w:w="4824"/>
            <w:tcMar>
              <w:top w:w="80" w:type="dxa"/>
              <w:start w:w="100" w:type="dxa"/>
              <w:bottom w:w="80" w:type="dxa"/>
              <w:end w:w="100" w:type="dxa"/>
            </w:tcMar>
            <w:vAlign w:val="top"/>
          </w:tcPr>
          <w:p>
            <w:pPr>
              <w:spacing w:after="40" w:line="240" w:lineRule="auto"/>
            </w:pPr>
            <w:r>
              <w:rPr>
                <w:rFonts w:ascii="Aptos" w:hAnsi="Aptos" w:eastAsia="Aptos"/>
                <w:b w:val="0"/>
                <w:color w:val="2D3742"/>
                <w:sz w:val="16"/>
              </w:rPr>
              <w:t>Menetapkan aturan kelas yang jelas dan tidak mempermalukan murid; memberi kesempatan bertanya dan berkontribusi; berdiskusi dengan rekan/guru pembimbing; serta menuliskan refleksi singkat tentang bukti belajar, keputusan yang diambil, dan satu tindak lanjut setelah pembelajaran.</w:t>
            </w:r>
          </w:p>
        </w:tc>
        <w:tc>
          <w:tcPr>
            <w:tcW w:type="dxa" w:w="2880"/>
            <w:tcMar>
              <w:top w:w="80" w:type="dxa"/>
              <w:start w:w="100" w:type="dxa"/>
              <w:bottom w:w="80" w:type="dxa"/>
              <w:end w:w="100" w:type="dxa"/>
            </w:tcMar>
            <w:vAlign w:val="top"/>
          </w:tcPr>
          <w:p>
            <w:pPr>
              <w:spacing w:after="40" w:line="240" w:lineRule="auto"/>
            </w:pPr>
            <w:r>
              <w:rPr>
                <w:rFonts w:ascii="Aptos" w:hAnsi="Aptos" w:eastAsia="Aptos"/>
                <w:b w:val="0"/>
                <w:color w:val="2D3742"/>
                <w:sz w:val="16"/>
              </w:rPr>
              <w:t>Ada catatan refleksi dan masukan yang diterjemahkan menjadi tindakan pada pertemuan berikutnya; peran kelompok lebih jelas; komunikasi lebih dialogis; kebutuhan murid dibahas secara etis dan menjaga kerahasiaan.</w:t>
            </w:r>
          </w:p>
        </w:tc>
      </w:tr>
    </w:tbl>
    <w:p>
      <w:pPr>
        <w:pStyle w:val="Heading1"/>
      </w:pPr>
      <w:r>
        <w:t>4. Sebagai guru profesional, saya akan ...</w:t>
      </w:r>
    </w:p>
    <w:p>
      <w:r>
        <w:rPr>
          <w:rFonts w:ascii="Aptos" w:hAnsi="Aptos" w:eastAsia="Aptos"/>
        </w:rPr>
        <w:t>... menjalankan profesi dengan integritas, tanggung jawab, dan komitmen belajar sepanjang hayat. Saya ingin menjadi guru Informatika yang tegas tetapi tidak menakutkan, disiplin tetapi memahami kondisi murid, dan kreatif tanpa kehilangan fokus pada tujuan pembelajaran. Saya akan memastikan media yang saya gunakan akurat serta relevan, menjaga privasi dan hak cipta, memberi ruang untuk mencoba dan memperbaiki kesalahan, serta menggunakan asesmen untuk merancang tindak lanjut. Sebagai guru profesional, saya juga perlu terbuka pada pengamatan, masukan, dan kolaborasi agar keputusan pembelajaran dapat dipertanggungjawabkan.</w:t>
      </w:r>
    </w:p>
    <w:p>
      <w:pPr>
        <w:pStyle w:val="Heading1"/>
      </w:pPr>
      <w:r>
        <w:t>Artefak Pendukung Refleksi</w:t>
      </w:r>
    </w:p>
    <w:tbl>
      <w:tblPr>
        <w:tblW w:type="auto" w:w="0"/>
        <w:jc w:val="center"/>
        <w:tblLayout w:type="fixed"/>
        <w:tblLook w:firstColumn="1" w:firstRow="1" w:lastColumn="0" w:lastRow="0" w:noHBand="0" w:noVBand="1" w:val="04A0"/>
      </w:tblPr>
      <w:tblGrid>
        <w:gridCol w:w="3672"/>
        <w:gridCol w:w="6120"/>
      </w:tblGrid>
      <w:tr>
        <w:trPr>
          <w:tblHeader w:val="true"/>
        </w:trPr>
        <w:tc>
          <w:tcPr>
            <w:tcW w:type="dxa" w:w="4968"/>
            <w:shd w:fill="17365D"/>
            <w:tcMar>
              <w:top w:w="80" w:type="dxa"/>
              <w:start w:w="100" w:type="dxa"/>
              <w:bottom w:w="80" w:type="dxa"/>
              <w:end w:w="100" w:type="dxa"/>
            </w:tcMar>
          </w:tcPr>
          <w:p>
            <w:r>
              <w:rPr>
                <w:b/>
                <w:color w:val="FFFFFF"/>
                <w:sz w:val="17"/>
              </w:rPr>
              <w:t>Artefak</w:t>
            </w:r>
          </w:p>
        </w:tc>
        <w:tc>
          <w:tcPr>
            <w:tcW w:type="dxa" w:w="4968"/>
            <w:shd w:fill="17365D"/>
            <w:tcMar>
              <w:top w:w="80" w:type="dxa"/>
              <w:start w:w="100" w:type="dxa"/>
              <w:bottom w:w="80" w:type="dxa"/>
              <w:end w:w="100" w:type="dxa"/>
            </w:tcMar>
          </w:tcPr>
          <w:p>
            <w:r>
              <w:rPr>
                <w:b/>
                <w:color w:val="FFFFFF"/>
                <w:sz w:val="17"/>
              </w:rPr>
              <w:t>Hal yang Didukung</w:t>
            </w:r>
          </w:p>
        </w:tc>
      </w:tr>
      <w:tr>
        <w:trPr>
          <w:cantSplit/>
        </w:trPr>
        <w:tc>
          <w:tcPr>
            <w:tcW w:type="dxa" w:w="3672"/>
            <w:tcMar>
              <w:top w:w="80" w:type="dxa"/>
              <w:start w:w="100" w:type="dxa"/>
              <w:bottom w:w="80" w:type="dxa"/>
              <w:end w:w="100" w:type="dxa"/>
            </w:tcMar>
            <w:vAlign w:val="top"/>
          </w:tcPr>
          <w:p>
            <w:pPr>
              <w:spacing w:after="0" w:line="240" w:lineRule="auto"/>
            </w:pPr>
            <w:r>
              <w:rPr>
                <w:rFonts w:ascii="Aptos" w:hAnsi="Aptos" w:eastAsia="Aptos"/>
                <w:b w:val="0"/>
                <w:color w:val="2D3742"/>
                <w:sz w:val="16"/>
              </w:rPr>
              <w:t>LK 1 Identifikasi Diri</w:t>
            </w:r>
          </w:p>
        </w:tc>
        <w:tc>
          <w:tcPr>
            <w:tcW w:type="dxa" w:w="6120"/>
            <w:tcMar>
              <w:top w:w="80" w:type="dxa"/>
              <w:start w:w="100" w:type="dxa"/>
              <w:bottom w:w="80" w:type="dxa"/>
              <w:end w:w="100" w:type="dxa"/>
            </w:tcMar>
            <w:vAlign w:val="top"/>
          </w:tcPr>
          <w:p>
            <w:pPr>
              <w:spacing w:after="0" w:line="240" w:lineRule="auto"/>
            </w:pPr>
            <w:r>
              <w:rPr>
                <w:rFonts w:ascii="Aptos" w:hAnsi="Aptos" w:eastAsia="Aptos"/>
                <w:b w:val="0"/>
                <w:color w:val="2D3742"/>
                <w:sz w:val="16"/>
              </w:rPr>
              <w:t>Menunjukkan visi dan nilai awal, termasuk pengaruh pengalaman sekolah, perjalanan dari bidang kreatif ke pendidikan, dan komitmen terhadap peran guru.</w:t>
            </w:r>
          </w:p>
        </w:tc>
      </w:tr>
      <w:tr>
        <w:trPr>
          <w:cantSplit/>
        </w:trPr>
        <w:tc>
          <w:tcPr>
            <w:tcW w:type="dxa" w:w="3672"/>
            <w:tcMar>
              <w:top w:w="80" w:type="dxa"/>
              <w:start w:w="100" w:type="dxa"/>
              <w:bottom w:w="80" w:type="dxa"/>
              <w:end w:w="100" w:type="dxa"/>
            </w:tcMar>
            <w:vAlign w:val="top"/>
            <w:shd w:fill="F3F6F8"/>
          </w:tcPr>
          <w:p>
            <w:pPr>
              <w:spacing w:after="0" w:line="240" w:lineRule="auto"/>
            </w:pPr>
            <w:r>
              <w:rPr>
                <w:rFonts w:ascii="Aptos" w:hAnsi="Aptos" w:eastAsia="Aptos"/>
                <w:b w:val="0"/>
                <w:color w:val="2D3742"/>
                <w:sz w:val="16"/>
              </w:rPr>
              <w:t>PPT Microsoft Word dan LKPD cover/daftar isi otomatis</w:t>
            </w:r>
          </w:p>
        </w:tc>
        <w:tc>
          <w:tcPr>
            <w:tcW w:type="dxa" w:w="6120"/>
            <w:tcMar>
              <w:top w:w="80" w:type="dxa"/>
              <w:start w:w="100" w:type="dxa"/>
              <w:bottom w:w="80" w:type="dxa"/>
              <w:end w:w="100" w:type="dxa"/>
            </w:tcMar>
            <w:vAlign w:val="top"/>
            <w:shd w:fill="F3F6F8"/>
          </w:tcPr>
          <w:p>
            <w:pPr>
              <w:spacing w:after="0" w:line="240" w:lineRule="auto"/>
            </w:pPr>
            <w:r>
              <w:rPr>
                <w:rFonts w:ascii="Aptos" w:hAnsi="Aptos" w:eastAsia="Aptos"/>
                <w:b w:val="0"/>
                <w:color w:val="2D3742"/>
                <w:sz w:val="16"/>
              </w:rPr>
              <w:t>Mendukung refleksi tentang persiapan media, tujuan praktik, serta kesenjangan antara target Word dan keterampilan dasar komputer yang ditemukan saat pembelajaran.</w:t>
            </w:r>
          </w:p>
        </w:tc>
      </w:tr>
      <w:tr>
        <w:trPr>
          <w:cantSplit/>
        </w:trPr>
        <w:tc>
          <w:tcPr>
            <w:tcW w:type="dxa" w:w="3672"/>
            <w:tcMar>
              <w:top w:w="80" w:type="dxa"/>
              <w:start w:w="100" w:type="dxa"/>
              <w:bottom w:w="80" w:type="dxa"/>
              <w:end w:w="100" w:type="dxa"/>
            </w:tcMar>
            <w:vAlign w:val="top"/>
          </w:tcPr>
          <w:p>
            <w:pPr>
              <w:spacing w:after="0" w:line="240" w:lineRule="auto"/>
            </w:pPr>
            <w:r>
              <w:rPr>
                <w:rFonts w:ascii="Aptos" w:hAnsi="Aptos" w:eastAsia="Aptos"/>
                <w:b w:val="0"/>
                <w:color w:val="2D3742"/>
                <w:sz w:val="16"/>
              </w:rPr>
              <w:t>LKPD Sorting dan hasil praktik/presentasi kelompok</w:t>
            </w:r>
          </w:p>
        </w:tc>
        <w:tc>
          <w:tcPr>
            <w:tcW w:type="dxa" w:w="6120"/>
            <w:tcMar>
              <w:top w:w="80" w:type="dxa"/>
              <w:start w:w="100" w:type="dxa"/>
              <w:bottom w:w="80" w:type="dxa"/>
              <w:end w:w="100" w:type="dxa"/>
            </w:tcMar>
            <w:vAlign w:val="top"/>
          </w:tcPr>
          <w:p>
            <w:pPr>
              <w:spacing w:after="0" w:line="240" w:lineRule="auto"/>
            </w:pPr>
            <w:r>
              <w:rPr>
                <w:rFonts w:ascii="Aptos" w:hAnsi="Aptos" w:eastAsia="Aptos"/>
                <w:b w:val="0"/>
                <w:color w:val="2D3742"/>
                <w:sz w:val="16"/>
              </w:rPr>
              <w:t>Mendukung refleksi mengenai pembelajaran aktif yang berjalan baik melalui pembagian tugas, contoh, simulasi kartu, penyelesaian LKPD, dan presentasi kelompok.</w:t>
            </w:r>
          </w:p>
        </w:tc>
      </w:tr>
      <w:tr>
        <w:trPr>
          <w:cantSplit/>
        </w:trPr>
        <w:tc>
          <w:tcPr>
            <w:tcW w:type="dxa" w:w="3672"/>
            <w:tcMar>
              <w:top w:w="80" w:type="dxa"/>
              <w:start w:w="100" w:type="dxa"/>
              <w:bottom w:w="80" w:type="dxa"/>
              <w:end w:w="100" w:type="dxa"/>
            </w:tcMar>
            <w:vAlign w:val="top"/>
            <w:shd w:fill="F3F6F8"/>
          </w:tcPr>
          <w:p>
            <w:pPr>
              <w:spacing w:after="0" w:line="240" w:lineRule="auto"/>
            </w:pPr>
            <w:r>
              <w:rPr>
                <w:rFonts w:ascii="Aptos" w:hAnsi="Aptos" w:eastAsia="Aptos"/>
                <w:b w:val="0"/>
                <w:color w:val="2D3742"/>
                <w:sz w:val="16"/>
              </w:rPr>
              <w:t>LK 4.1 School Well-Being dan rancangan PSE pada Sorting</w:t>
            </w:r>
          </w:p>
        </w:tc>
        <w:tc>
          <w:tcPr>
            <w:tcW w:type="dxa" w:w="6120"/>
            <w:tcMar>
              <w:top w:w="80" w:type="dxa"/>
              <w:start w:w="100" w:type="dxa"/>
              <w:bottom w:w="80" w:type="dxa"/>
              <w:end w:w="100" w:type="dxa"/>
            </w:tcMar>
            <w:vAlign w:val="top"/>
            <w:shd w:fill="F3F6F8"/>
          </w:tcPr>
          <w:p>
            <w:pPr>
              <w:spacing w:after="0" w:line="240" w:lineRule="auto"/>
            </w:pPr>
            <w:r>
              <w:rPr>
                <w:rFonts w:ascii="Aptos" w:hAnsi="Aptos" w:eastAsia="Aptos"/>
                <w:b w:val="0"/>
                <w:color w:val="2D3742"/>
                <w:sz w:val="16"/>
              </w:rPr>
              <w:t>Menunjukkan nilai tentang disiplin yang tidak menakutkan dan rancangan pengintegrasian PSE. Rancangan dipisahkan dari klaim pelaksanaan yang belum terkonfirmasi.</w:t>
            </w:r>
          </w:p>
        </w:tc>
      </w:tr>
      <w:tr>
        <w:trPr>
          <w:cantSplit/>
        </w:trPr>
        <w:tc>
          <w:tcPr>
            <w:tcW w:type="dxa" w:w="3672"/>
            <w:tcMar>
              <w:top w:w="80" w:type="dxa"/>
              <w:start w:w="100" w:type="dxa"/>
              <w:bottom w:w="80" w:type="dxa"/>
              <w:end w:w="100" w:type="dxa"/>
            </w:tcMar>
            <w:vAlign w:val="top"/>
          </w:tcPr>
          <w:p>
            <w:pPr>
              <w:spacing w:after="0" w:line="240" w:lineRule="auto"/>
            </w:pPr>
            <w:r>
              <w:rPr>
                <w:rFonts w:ascii="Aptos" w:hAnsi="Aptos" w:eastAsia="Aptos"/>
                <w:b w:val="0"/>
                <w:color w:val="2D3742"/>
                <w:sz w:val="16"/>
              </w:rPr>
              <w:t>Rancangan/prototipe dan materi sosialisasi Sivita</w:t>
            </w:r>
          </w:p>
        </w:tc>
        <w:tc>
          <w:tcPr>
            <w:tcW w:type="dxa" w:w="6120"/>
            <w:tcMar>
              <w:top w:w="80" w:type="dxa"/>
              <w:start w:w="100" w:type="dxa"/>
              <w:bottom w:w="80" w:type="dxa"/>
              <w:end w:w="100" w:type="dxa"/>
            </w:tcMar>
            <w:vAlign w:val="top"/>
          </w:tcPr>
          <w:p>
            <w:pPr>
              <w:spacing w:after="0" w:line="240" w:lineRule="auto"/>
            </w:pPr>
            <w:r>
              <w:rPr>
                <w:rFonts w:ascii="Aptos" w:hAnsi="Aptos" w:eastAsia="Aptos"/>
                <w:b w:val="0"/>
                <w:color w:val="2D3742"/>
                <w:sz w:val="16"/>
              </w:rPr>
              <w:t>Menunjukkan penerapan teknologi dan kolaborasi untuk menjawab kebutuhan layanan sekolah; dampak terhadap pengguna perlu dinilai dengan umpan balik atau pengamatan penggunaan.</w:t>
            </w:r>
          </w:p>
        </w:tc>
      </w:tr>
    </w:tbl>
    <w:p>
      <w:pPr>
        <w:pStyle w:val="Heading1"/>
      </w:pPr>
      <w:r>
        <w:t>Penutup</w:t>
      </w:r>
    </w:p>
    <w:p>
      <w:r>
        <w:t>Perjalanan PPG menyadarkan saya bahwa menjadi guru bukan sekadar perubahan status, melainkan komitmen memperbaiki praktik dan bertanggung jawab kepada murid. Kepercayaan diri saya tumbuh melalui persiapan dan pengalaman nyata, tetapi saya masih perlu meningkatkan asesmen prasyarat, pengelolaan waktu, dan pemeriksaan pemahaman individual. Saya ingin mempertahankan kreativitas serta kesiapan materi sambil membangun refleksi yang terukur. Keberhasilan guru terlihat dari kemajuan belajar dan rasa aman murid, bukan sekadar pembelajaran yang menarik.</w:t>
      </w:r>
    </w:p>
    <w:p>
      <w:pPr>
        <w:pStyle w:val="Heading1"/>
      </w:pPr>
      <w:r>
        <w:t>Pemetaan Kompetensi: Kekuatan dan Area Pengembangan</w:t>
      </w:r>
    </w:p>
    <w:p>
      <w:pPr>
        <w:spacing w:after="120"/>
      </w:pPr>
      <w:r>
        <w:t>Kompetensi profesional bukan hanya pengetahuan tentang standar, tetapi kebiasaan menerapkannya, menilai hasilnya, dan memperbaiki praktik. Tabel ini merangkum kekuatan yang mulai terlihat serta fokus yang masih perlu dikembangkan.</w:t>
      </w:r>
    </w:p>
    <w:tbl>
      <w:tblPr>
        <w:tblW w:type="auto" w:w="0"/>
        <w:jc w:val="center"/>
        <w:tblLayout w:type="fixed"/>
        <w:tblLook w:firstColumn="1" w:firstRow="1" w:lastColumn="0" w:lastRow="0" w:noHBand="0" w:noVBand="1" w:val="04A0"/>
      </w:tblPr>
      <w:tblGrid>
        <w:gridCol w:w="1872"/>
        <w:gridCol w:w="4104"/>
        <w:gridCol w:w="4032"/>
      </w:tblGrid>
      <w:tr>
        <w:trPr>
          <w:tblHeader w:val="true"/>
        </w:trPr>
        <w:tc>
          <w:tcPr>
            <w:tcW w:type="dxa" w:w="3312"/>
            <w:vAlign w:val="top"/>
            <w:shd w:fill="17365D"/>
            <w:tcMar>
              <w:top w:w="80" w:type="dxa"/>
              <w:start w:w="90" w:type="dxa"/>
              <w:bottom w:w="80" w:type="dxa"/>
              <w:end w:w="90" w:type="dxa"/>
            </w:tcMar>
          </w:tcPr>
          <w:p>
            <w:pPr>
              <w:spacing w:after="0" w:line="240" w:lineRule="auto"/>
            </w:pPr>
            <w:r>
              <w:rPr>
                <w:rFonts w:ascii="Aptos" w:hAnsi="Aptos" w:eastAsia="Aptos"/>
                <w:b/>
                <w:color w:val="FFFFFF"/>
                <w:sz w:val="16"/>
              </w:rPr>
              <w:t>Kompetensi</w:t>
            </w:r>
          </w:p>
        </w:tc>
        <w:tc>
          <w:tcPr>
            <w:tcW w:type="dxa" w:w="3312"/>
            <w:vAlign w:val="top"/>
            <w:shd w:fill="17365D"/>
            <w:tcMar>
              <w:top w:w="80" w:type="dxa"/>
              <w:start w:w="90" w:type="dxa"/>
              <w:bottom w:w="80" w:type="dxa"/>
              <w:end w:w="90" w:type="dxa"/>
            </w:tcMar>
          </w:tcPr>
          <w:p>
            <w:pPr>
              <w:spacing w:after="0" w:line="240" w:lineRule="auto"/>
            </w:pPr>
            <w:r>
              <w:rPr>
                <w:rFonts w:ascii="Aptos" w:hAnsi="Aptos" w:eastAsia="Aptos"/>
                <w:b/>
                <w:color w:val="FFFFFF"/>
                <w:sz w:val="16"/>
              </w:rPr>
              <w:t>Bukti/Refleksi yang Relevan</w:t>
            </w:r>
          </w:p>
        </w:tc>
        <w:tc>
          <w:tcPr>
            <w:tcW w:type="dxa" w:w="3312"/>
            <w:vAlign w:val="top"/>
            <w:shd w:fill="17365D"/>
            <w:tcMar>
              <w:top w:w="80" w:type="dxa"/>
              <w:start w:w="90" w:type="dxa"/>
              <w:bottom w:w="80" w:type="dxa"/>
              <w:end w:w="90" w:type="dxa"/>
            </w:tcMar>
          </w:tcPr>
          <w:p>
            <w:pPr>
              <w:spacing w:after="0" w:line="240" w:lineRule="auto"/>
            </w:pPr>
            <w:r>
              <w:rPr>
                <w:rFonts w:ascii="Aptos" w:hAnsi="Aptos" w:eastAsia="Aptos"/>
                <w:b/>
                <w:color w:val="FFFFFF"/>
                <w:sz w:val="16"/>
              </w:rPr>
              <w:t>Fokus Pengembangan Berikutnya</w:t>
            </w:r>
          </w:p>
        </w:tc>
      </w:tr>
      <w:tr>
        <w:trPr>
          <w:cantSplit/>
        </w:trPr>
        <w:tc>
          <w:tcPr>
            <w:tcW w:type="dxa" w:w="1872"/>
            <w:vAlign w:val="top"/>
            <w:tcMar>
              <w:top w:w="70" w:type="dxa"/>
              <w:start w:w="90" w:type="dxa"/>
              <w:bottom w:w="70" w:type="dxa"/>
              <w:end w:w="90" w:type="dxa"/>
            </w:tcMar>
          </w:tcPr>
          <w:p>
            <w:pPr>
              <w:spacing w:after="0" w:line="240" w:lineRule="auto"/>
            </w:pPr>
            <w:r>
              <w:rPr>
                <w:rFonts w:ascii="Aptos" w:hAnsi="Aptos" w:eastAsia="Aptos"/>
                <w:b w:val="0"/>
                <w:color w:val="2D3742"/>
                <w:sz w:val="16"/>
              </w:rPr>
              <w:t>Pedagogik</w:t>
            </w:r>
          </w:p>
        </w:tc>
        <w:tc>
          <w:tcPr>
            <w:tcW w:type="dxa" w:w="4104"/>
            <w:vAlign w:val="top"/>
            <w:tcMar>
              <w:top w:w="70" w:type="dxa"/>
              <w:start w:w="90" w:type="dxa"/>
              <w:bottom w:w="70" w:type="dxa"/>
              <w:end w:w="90" w:type="dxa"/>
            </w:tcMar>
          </w:tcPr>
          <w:p>
            <w:pPr>
              <w:spacing w:after="0" w:line="240" w:lineRule="auto"/>
            </w:pPr>
            <w:r>
              <w:rPr>
                <w:rFonts w:ascii="Aptos" w:hAnsi="Aptos" w:eastAsia="Aptos"/>
                <w:b w:val="0"/>
                <w:color w:val="2D3742"/>
                <w:sz w:val="16"/>
              </w:rPr>
              <w:t>Persiapan PPT dan materi; variasi strategi pada Sorting; pengalaman menyadari perlunya cek prasyarat Word.</w:t>
            </w:r>
          </w:p>
        </w:tc>
        <w:tc>
          <w:tcPr>
            <w:tcW w:type="dxa" w:w="4032"/>
            <w:vAlign w:val="top"/>
            <w:tcMar>
              <w:top w:w="70" w:type="dxa"/>
              <w:start w:w="90" w:type="dxa"/>
              <w:bottom w:w="70" w:type="dxa"/>
              <w:end w:w="90" w:type="dxa"/>
            </w:tcMar>
          </w:tcPr>
          <w:p>
            <w:pPr>
              <w:spacing w:after="0" w:line="240" w:lineRule="auto"/>
            </w:pPr>
            <w:r>
              <w:rPr>
                <w:rFonts w:ascii="Aptos" w:hAnsi="Aptos" w:eastAsia="Aptos"/>
                <w:b w:val="0"/>
                <w:color w:val="2D3742"/>
                <w:sz w:val="16"/>
              </w:rPr>
              <w:t>Perbaiki diagnostik spesifik, pengelolaan waktu, dan pemeriksaan pemahaman individu.</w:t>
            </w:r>
          </w:p>
        </w:tc>
      </w:tr>
      <w:tr>
        <w:trPr>
          <w:cantSplit/>
        </w:trPr>
        <w:tc>
          <w:tcPr>
            <w:tcW w:type="dxa" w:w="1872"/>
            <w:vAlign w:val="top"/>
            <w:shd w:fill="F3F6F8"/>
            <w:tcMar>
              <w:top w:w="70" w:type="dxa"/>
              <w:start w:w="90" w:type="dxa"/>
              <w:bottom w:w="70" w:type="dxa"/>
              <w:end w:w="90" w:type="dxa"/>
            </w:tcMar>
          </w:tcPr>
          <w:p>
            <w:pPr>
              <w:spacing w:after="0" w:line="240" w:lineRule="auto"/>
            </w:pPr>
            <w:r>
              <w:rPr>
                <w:rFonts w:ascii="Aptos" w:hAnsi="Aptos" w:eastAsia="Aptos"/>
                <w:b w:val="0"/>
                <w:color w:val="2D3742"/>
                <w:sz w:val="16"/>
              </w:rPr>
              <w:t>Kepribadian</w:t>
            </w:r>
          </w:p>
        </w:tc>
        <w:tc>
          <w:tcPr>
            <w:tcW w:type="dxa" w:w="4104"/>
            <w:vAlign w:val="top"/>
            <w:shd w:fill="F3F6F8"/>
            <w:tcMar>
              <w:top w:w="70" w:type="dxa"/>
              <w:start w:w="90" w:type="dxa"/>
              <w:bottom w:w="70" w:type="dxa"/>
              <w:end w:w="90" w:type="dxa"/>
            </w:tcMar>
          </w:tcPr>
          <w:p>
            <w:pPr>
              <w:spacing w:after="0" w:line="240" w:lineRule="auto"/>
            </w:pPr>
            <w:r>
              <w:rPr>
                <w:rFonts w:ascii="Aptos" w:hAnsi="Aptos" w:eastAsia="Aptos"/>
                <w:b w:val="0"/>
                <w:color w:val="2D3742"/>
                <w:sz w:val="16"/>
              </w:rPr>
              <w:t>Mau mengakui bahwa materi perlu dipelajari ulang; menggunakan refleksi dan menerima bantuan/masukan.</w:t>
            </w:r>
          </w:p>
        </w:tc>
        <w:tc>
          <w:tcPr>
            <w:tcW w:type="dxa" w:w="4032"/>
            <w:vAlign w:val="top"/>
            <w:shd w:fill="F3F6F8"/>
            <w:tcMar>
              <w:top w:w="70" w:type="dxa"/>
              <w:start w:w="90" w:type="dxa"/>
              <w:bottom w:w="70" w:type="dxa"/>
              <w:end w:w="90" w:type="dxa"/>
            </w:tcMar>
          </w:tcPr>
          <w:p>
            <w:pPr>
              <w:spacing w:after="0" w:line="240" w:lineRule="auto"/>
            </w:pPr>
            <w:r>
              <w:rPr>
                <w:rFonts w:ascii="Aptos" w:hAnsi="Aptos" w:eastAsia="Aptos"/>
                <w:b w:val="0"/>
                <w:color w:val="2D3742"/>
                <w:sz w:val="16"/>
              </w:rPr>
              <w:t>Jaga konsistensi, pengelolaan emosi, dan kebiasaan refleksi setelah mengajar.</w:t>
            </w:r>
          </w:p>
        </w:tc>
      </w:tr>
      <w:tr>
        <w:trPr>
          <w:cantSplit/>
        </w:trPr>
        <w:tc>
          <w:tcPr>
            <w:tcW w:type="dxa" w:w="1872"/>
            <w:vAlign w:val="top"/>
            <w:tcMar>
              <w:top w:w="70" w:type="dxa"/>
              <w:start w:w="90" w:type="dxa"/>
              <w:bottom w:w="70" w:type="dxa"/>
              <w:end w:w="90" w:type="dxa"/>
            </w:tcMar>
          </w:tcPr>
          <w:p>
            <w:pPr>
              <w:spacing w:after="0" w:line="240" w:lineRule="auto"/>
            </w:pPr>
            <w:r>
              <w:rPr>
                <w:rFonts w:ascii="Aptos" w:hAnsi="Aptos" w:eastAsia="Aptos"/>
                <w:b w:val="0"/>
                <w:color w:val="2D3742"/>
                <w:sz w:val="16"/>
              </w:rPr>
              <w:t>Sosial</w:t>
            </w:r>
          </w:p>
        </w:tc>
        <w:tc>
          <w:tcPr>
            <w:tcW w:type="dxa" w:w="4104"/>
            <w:vAlign w:val="top"/>
            <w:tcMar>
              <w:top w:w="70" w:type="dxa"/>
              <w:start w:w="90" w:type="dxa"/>
              <w:bottom w:w="70" w:type="dxa"/>
              <w:end w:w="90" w:type="dxa"/>
            </w:tcMar>
          </w:tcPr>
          <w:p>
            <w:pPr>
              <w:spacing w:after="0" w:line="240" w:lineRule="auto"/>
            </w:pPr>
            <w:r>
              <w:rPr>
                <w:rFonts w:ascii="Aptos" w:hAnsi="Aptos" w:eastAsia="Aptos"/>
                <w:b w:val="0"/>
                <w:color w:val="2D3742"/>
                <w:sz w:val="16"/>
              </w:rPr>
              <w:t>Mendampingi murid, mengajak teman sebaya membantu, membagi peran kelompok, dan berkomunikasi dalam proyek sekolah.</w:t>
            </w:r>
          </w:p>
        </w:tc>
        <w:tc>
          <w:tcPr>
            <w:tcW w:type="dxa" w:w="4032"/>
            <w:vAlign w:val="top"/>
            <w:tcMar>
              <w:top w:w="70" w:type="dxa"/>
              <w:start w:w="90" w:type="dxa"/>
              <w:bottom w:w="70" w:type="dxa"/>
              <w:end w:w="90" w:type="dxa"/>
            </w:tcMar>
          </w:tcPr>
          <w:p>
            <w:pPr>
              <w:spacing w:after="0" w:line="240" w:lineRule="auto"/>
            </w:pPr>
            <w:r>
              <w:rPr>
                <w:rFonts w:ascii="Aptos" w:hAnsi="Aptos" w:eastAsia="Aptos"/>
                <w:b w:val="0"/>
                <w:color w:val="2D3742"/>
                <w:sz w:val="16"/>
              </w:rPr>
              <w:t>Perkuat komunikasi dua arah dan pastikan murid yang lebih pendiam tetap memperoleh ruang kontribusi.</w:t>
            </w:r>
          </w:p>
        </w:tc>
      </w:tr>
      <w:tr>
        <w:trPr>
          <w:cantSplit/>
        </w:trPr>
        <w:tc>
          <w:tcPr>
            <w:tcW w:type="dxa" w:w="1872"/>
            <w:vAlign w:val="top"/>
            <w:shd w:fill="F3F6F8"/>
            <w:tcMar>
              <w:top w:w="70" w:type="dxa"/>
              <w:start w:w="90" w:type="dxa"/>
              <w:bottom w:w="70" w:type="dxa"/>
              <w:end w:w="90" w:type="dxa"/>
            </w:tcMar>
          </w:tcPr>
          <w:p>
            <w:pPr>
              <w:spacing w:after="0" w:line="240" w:lineRule="auto"/>
            </w:pPr>
            <w:r>
              <w:rPr>
                <w:rFonts w:ascii="Aptos" w:hAnsi="Aptos" w:eastAsia="Aptos"/>
                <w:b w:val="0"/>
                <w:color w:val="2D3742"/>
                <w:sz w:val="16"/>
              </w:rPr>
              <w:t>Profesional</w:t>
            </w:r>
          </w:p>
        </w:tc>
        <w:tc>
          <w:tcPr>
            <w:tcW w:type="dxa" w:w="4104"/>
            <w:vAlign w:val="top"/>
            <w:shd w:fill="F3F6F8"/>
            <w:tcMar>
              <w:top w:w="70" w:type="dxa"/>
              <w:start w:w="90" w:type="dxa"/>
              <w:bottom w:w="70" w:type="dxa"/>
              <w:end w:w="90" w:type="dxa"/>
            </w:tcMar>
          </w:tcPr>
          <w:p>
            <w:pPr>
              <w:spacing w:after="0" w:line="240" w:lineRule="auto"/>
            </w:pPr>
            <w:r>
              <w:rPr>
                <w:rFonts w:ascii="Aptos" w:hAnsi="Aptos" w:eastAsia="Aptos"/>
                <w:b w:val="0"/>
                <w:color w:val="2D3742"/>
                <w:sz w:val="16"/>
              </w:rPr>
              <w:t>Menguasai kembali materi melalui baca referensi, latihan coding, menyiapkan media, dan pengalaman menerapkan teknologi dalam proyek.</w:t>
            </w:r>
          </w:p>
        </w:tc>
        <w:tc>
          <w:tcPr>
            <w:tcW w:type="dxa" w:w="4032"/>
            <w:vAlign w:val="top"/>
            <w:shd w:fill="F3F6F8"/>
            <w:tcMar>
              <w:top w:w="70" w:type="dxa"/>
              <w:start w:w="90" w:type="dxa"/>
              <w:bottom w:w="70" w:type="dxa"/>
              <w:end w:w="90" w:type="dxa"/>
            </w:tcMar>
          </w:tcPr>
          <w:p>
            <w:pPr>
              <w:spacing w:after="0" w:line="240" w:lineRule="auto"/>
            </w:pPr>
            <w:r>
              <w:rPr>
                <w:rFonts w:ascii="Aptos" w:hAnsi="Aptos" w:eastAsia="Aptos"/>
                <w:b w:val="0"/>
                <w:color w:val="2D3742"/>
                <w:sz w:val="16"/>
              </w:rPr>
              <w:t>Lakukan pengembangan kompetensi rutin dan menilai keberhasilan berdasarkan ketepatan materi serta bukti belajar, bukan hanya respons positif.</w:t>
            </w:r>
          </w:p>
        </w:tc>
      </w:tr>
    </w:tbl>
    <w:p>
      <w:r>
        <w:t>Landasan: Undang-Undang Republik Indonesia Nomor 14 Tahun 2005 tentang Guru dan Dosen, Pasal 10.</w:t>
      </w:r>
    </w:p>
    <w:p>
      <w:pPr>
        <w:pStyle w:val="Heading1"/>
      </w:pPr>
      <w:r>
        <w:t>Rencana Pengembangan Inovasi sebagai Wujud Kompetensi Profesional</w:t>
      </w:r>
    </w:p>
    <w:p>
      <w:pPr>
        <w:spacing w:after="100"/>
      </w:pPr>
      <w:r>
        <w:t>Saya ingin melanjutkan proses belajar setelah PPG dengan mengembangkan Ruang Informatika SMA, sebuah platform web pembelajaran Informatika untuk SMA yang memiliki akses berbeda bagi guru dan murid. Gagasan ini berangkat dari dua pelajaran PPL: kesiapan keterampilan prasyarat perlu dipetakan secara lebih spesifik pada pembelajaran Word, sedangkan konsep algoritma pada Sorting lebih mudah ditelusuri ketika murid dapat mencoba, membandingkan langkah, berdiskusi, dan menjelaskan alasan.</w:t>
      </w:r>
    </w:p>
    <w:p>
      <w:pPr>
        <w:spacing w:after="100"/>
      </w:pPr>
      <w:r>
        <w:t>Platform ini direncanakan mendukung banyak kelas, tingkat/rombel, semester, dan pertemuan. Guru dapat mengelola kelas, jadwal, materi, LKPD, asesmen, forum, proyek, nilai, umpan balik, serta rekap; murid dapat mengikuti alur belajar per pertemuan, mengumpulkan tugas, berdiskusi, melihat umpan balik, dan melakukan refleksi. Saya akan memulai dari satu unit lengkap, meminta masukan calon pengguna, memperbaiki prototipe, dan menguji akses serta manfaatnya sebelum memperluas cakupan. Dengan demikian, inovasi menjadi bagian dari pengembangan profesional yang dapat dievaluasi, bukan sekadar gagasan teknologi.</w:t>
      </w:r>
    </w:p>
    <w:p>
      <w:pPr>
        <w:pStyle w:val="Heading2"/>
      </w:pPr>
      <w:r>
        <w:t>Keterkaitan Rencana Inovasi dengan SDGs</w:t>
      </w:r>
    </w:p>
    <w:p>
      <w:r>
        <w:t>Keterkaitan dengan SDGs: SDG 4 (Pendidikan Berkualitas) menjadi orientasi utama melalui keterampilan digital, aktivitas bermakna, asesmen, dan umpan balik. SDG 9 (Industri, Inovasi, dan Infrastruktur) berkaitan dengan algoritma, pemecahan masalah, dan karya digital. SDG 10 (Berkurangnya Kesenjangan) mengarahkan perhatian pada beragam format materi, akses perangkat, dan bantuan bertahap. Kontribusi ini perlu dinilai melalui uji penggunaan, masukan, dan bukti belajar.</w:t>
      </w:r>
    </w:p>
    <w:sectPr w:rsidR="00FC693F" w:rsidRPr="0006063C" w:rsidSect="00034616">
      <w:headerReference w:type="default" r:id="rId9"/>
      <w:footerReference w:type="default" r:id="rId10"/>
      <w:pgSz w:w="12240" w:h="15840"/>
      <w:pgMar w:top="936" w:right="1152" w:bottom="835"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LK 3 - Refleksi Program PPG  |  Yadi Hapriadi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A6978"/>
        <w:sz w:val="16"/>
      </w:rPr>
      <w:t>SEMINAR PENDIDIKAN PROFESI GURU  |  PPG INFORMATIKA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eastAsia="Aptos"/>
      <w:color w:val="2D37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eastAsia="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eastAsia="Aptos"/>
      <w:b/>
      <w:bCs/>
      <w:color w:val="246B7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eastAsia="Aptos Display"/>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LK 3 Refleksi Pengalaman Belajar PPG - Versi Mendalam</dc:title>
  <dc:subject>Seminar Pendidikan Profesi Guru - PPG Informatika</dc:subject>
  <dc:creator>Yadi Hapriadi</dc:creator>
  <cp:keywords/>
  <dc:description>generated by python-docx</dc:description>
  <cp:lastModifiedBy/>
  <cp:revision>1</cp:revision>
  <dcterms:created xsi:type="dcterms:W3CDTF">2013-12-23T23:15:00Z</dcterms:created>
  <dcterms:modified xsi:type="dcterms:W3CDTF">2013-12-23T23:15:00Z</dcterms:modified>
  <cp:category/>
</cp:coreProperties>
</file>