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MASTER SERVICES AGREEMENT</w:t>
      </w:r>
    </w:p>
    <w:p>
      <w:r>
        <w:t xml:space="preserve">This Master Services Agreement (this “Agreement”) is entered into as of 1 January 2026 (the “Effective Date”) by and between Juniper Ridge Health, Inc., a Delaware corporation with offices at 100 Hudson Street, New York, New York 10013 (“Customer”), and Cobalt Cloud Services LLC, a New York corporation with offices at 250 Park Avenue, New York, New York 10177 (“Vendor”). Customer and Vendor are each a “Party” and together the “Parties.” In consideration of the mutual promises set out below, the Parties agree as follows.</w:t>
      </w:r>
    </w:p>
    <w:p>
      <w:pPr>
        <w:pStyle w:val="Heading1"/>
      </w:pPr>
      <w:r>
        <w:t xml:space="preserve">1. DEFINITIONS</w:t>
      </w:r>
    </w:p>
    <w:p>
      <w:pPr>
        <w:pStyle w:val="Heading2"/>
      </w:pPr>
      <w:r>
        <w:t xml:space="preserve">1.1 “Affiliate” means, with respect to a Party, any entity that directly or indirectly controls, is controlled by, or is under common control with that Party. “Control” means ownership of more than fifty percent of the voting interests of an entity or the power to direct its management. An entity is an Affiliate only while that relationship continues.</w:t>
      </w:r>
    </w:p>
    <w:p>
      <w:pPr>
        <w:pStyle w:val="Heading2"/>
      </w:pPr>
      <w:r>
        <w:t xml:space="preserve">1.2 “Applicable Law” means every statute, regulation, binding regulatory requirement, court order, and governmental rule applicable to a Party's performance under this Agreement, including laws concerning privacy, information security, export controls, employment, anti-bribery, and accessibility. Applicable Law does not include a private standard unless an Order Form expressly adopts it.</w:t>
      </w:r>
    </w:p>
    <w:p>
      <w:pPr>
        <w:pStyle w:val="Heading2"/>
      </w:pPr>
      <w:r>
        <w:t xml:space="preserve">1.3 “Customer Data” means all data, records, files, content, personal information, and other materials submitted to, stored in, transmitted through, or otherwise made available to the Services by or for Customer or its Authorized Users, together with output specifically derived from that material. Customer Data excludes anonymized operational telemetry that cannot reasonably be linked to Customer, an Authorized User, or an individual.</w:t>
      </w:r>
    </w:p>
    <w:p>
      <w:pPr>
        <w:pStyle w:val="Heading2"/>
      </w:pPr>
      <w:r>
        <w:t xml:space="preserve">1.4 “Deliverable” means each report, configuration, integration, specification, design, workflow, training material, and other work product that an Order Form identifies as being created specifically for Customer. Deliverables exclude Vendor Technology and generally applicable ideas, methods, skills, and know-how retained in the unaided memory of Vendor personnel.</w:t>
      </w:r>
    </w:p>
    <w:p>
      <w:pPr>
        <w:pStyle w:val="Heading2"/>
      </w:pPr>
      <w:r>
        <w:t xml:space="preserve">1.5 “Fees” means the recurring subscription fees, professional services fees, usage fees, and other amounts payable by Customer under an Order Form for the Services during the applicable period. Fees do not include taxes, reimbursable expenses, service credits, interest, damages, or a one-time implementation charge unless an Order Form expressly states otherwise.</w:t>
      </w:r>
    </w:p>
    <w:p>
      <w:pPr>
        <w:pStyle w:val="Heading2"/>
      </w:pPr>
      <w:r>
        <w:t xml:space="preserve">1.6 “Order Form” means a written ordering document signed by authorized representatives of both Parties that references this Agreement and describes the Services, Deliverables, subscription quantities, service levels, Fees, and term purchased by Customer. A purchase order is an administrative convenience only and does not amend an Order Form or this Agreement.</w:t>
      </w:r>
    </w:p>
    <w:p>
      <w:pPr>
        <w:pStyle w:val="Heading2"/>
      </w:pPr>
      <w:r>
        <w:t xml:space="preserve">1.7 “Services” means the hosted software, implementation, configuration, support, maintenance, consulting, and related services described in an Order Form. Services include all corrections, updates, and generally released improvements Vendor provides without an additional licence fee to similarly situated customers purchasing the same service tier.</w:t>
      </w:r>
    </w:p>
    <w:p>
      <w:pPr>
        <w:pStyle w:val="Heading2"/>
      </w:pPr>
      <w:r>
        <w:t xml:space="preserve">1.8 “Vendor Technology” means Vendor's pre-existing software, tools, models, templates, documentation, routines, connectors, and other technology, and modifications of them that are not Deliverables and do not embody Customer Confidential Information. Vendor Technology does not include Customer Data or intellectual property owned by Customer before the Effective Date.</w:t>
      </w:r>
    </w:p>
    <w:p>
      <w:pPr>
        <w:pStyle w:val="Heading1"/>
      </w:pPr>
      <w:r>
        <w:t xml:space="preserve">2. AGREEMENT STRUCTURE AND SCOPE</w:t>
      </w:r>
    </w:p>
    <w:p>
      <w:pPr>
        <w:pStyle w:val="Heading2"/>
      </w:pPr>
      <w:r>
        <w:t xml:space="preserve">2.1 Customer commits to purchase at least USD 2,000,000 of Services in each of the next three years on a take-or-pay basis, without reduction or termination rights.</w:t>
      </w:r>
    </w:p>
    <w:p>
      <w:pPr>
        <w:pStyle w:val="Heading2"/>
      </w:pPr>
      <w:r>
        <w:t xml:space="preserve">2.2 Each Order Form is governed by this Agreement. If provisions conflict, the following order controls: a signed amendment that expressly identifies the provision amended; the applicable Order Form; any service-level exhibit; any security exhibit; and this Agreement. An Order Form prevails only for that Order Form and only when it expressly identifies the conflicting provision.</w:t>
      </w:r>
    </w:p>
    <w:p>
      <w:pPr>
        <w:pStyle w:val="Heading2"/>
      </w:pPr>
      <w:r>
        <w:t xml:space="preserve">2.3 Vendor terms appearing on a website, click-through screen, invoice, quotation, acknowledgement, support portal, or purchase-order response do not apply, even if access to the Services technically requires acceptance. Customer's use of or payment for Services does not assent to additional or different terms.</w:t>
      </w:r>
    </w:p>
    <w:p>
      <w:pPr>
        <w:pStyle w:val="Heading1"/>
      </w:pPr>
      <w:r>
        <w:t xml:space="preserve">3. SERVICES AND PERFORMANCE</w:t>
      </w:r>
    </w:p>
    <w:p>
      <w:pPr>
        <w:pStyle w:val="Heading2"/>
      </w:pPr>
      <w:r>
        <w:t xml:space="preserve">3.1 Vendor shall provide the Services professionally, diligently, and in accordance with this Agreement, each Order Form, the documentation, agreed project plans, and Applicable Law. Vendor is responsible for the acts and omissions of its personnel, Affiliates, and subcontractors as though they were Vendor's own.</w:t>
      </w:r>
    </w:p>
    <w:p>
      <w:pPr>
        <w:pStyle w:val="Heading1"/>
      </w:pPr>
      <w:r>
        <w:t xml:space="preserve">4. ORDER FORMS AND AFFILIATE ORDERS</w:t>
      </w:r>
    </w:p>
    <w:p>
      <w:pPr>
        <w:pStyle w:val="Heading2"/>
      </w:pPr>
      <w:r>
        <w:t xml:space="preserve">4.1 An Order Form becomes binding when signed by both Parties. Changes in scope, assumptions, quantities, Fees, dependencies, or dates require a written change order signed by authorized representatives. Vendor shall not charge for work outside scope that Customer did not approve in a signed change order.</w:t>
      </w:r>
    </w:p>
    <w:p>
      <w:pPr>
        <w:pStyle w:val="Heading1"/>
      </w:pPr>
      <w:r>
        <w:t xml:space="preserve">5. IMPLEMENTATION AND CHANGE CONTROL</w:t>
      </w:r>
    </w:p>
    <w:p>
      <w:pPr>
        <w:pStyle w:val="Heading2"/>
      </w:pPr>
      <w:r>
        <w:t xml:space="preserve">5.1 Vendor shall prepare and maintain an implementation plan identifying tasks, owners, assumptions, dependencies, deliverables, acceptance criteria, risks, and target dates. The Parties will hold regular status meetings during implementation. Vendor shall keep accurate action and decision logs and furnish them to Customer on request.</w:t>
      </w:r>
    </w:p>
    <w:p>
      <w:pPr>
        <w:pStyle w:val="Heading1"/>
      </w:pPr>
      <w:r>
        <w:t xml:space="preserve">6. ACCEPTANCE</w:t>
      </w:r>
    </w:p>
    <w:p>
      <w:pPr>
        <w:pStyle w:val="Heading2"/>
      </w:pPr>
      <w:r>
        <w:t xml:space="preserve">6.1 Customer will have fifteen business days after delivery of a Deliverable to test it against the acceptance criteria in the applicable Order Form. Customer may accept it in writing or reject it by describing material nonconformities. Payment, productive use needed for testing, or silence does not constitute acceptance.</w:t>
      </w:r>
    </w:p>
    <w:p>
      <w:pPr>
        <w:pStyle w:val="Heading2"/>
      </w:pPr>
      <w:r>
        <w:t xml:space="preserve">6.2 If Customer rejects a Deliverable, Vendor shall promptly correct the nonconformities at no additional charge and resubmit it for a new acceptance period. After two unsuccessful correction cycles, Customer may terminate the affected Order Form and receive a refund of Fees paid for the rejected Deliverable and dependent Services Customer cannot reasonably use.</w:t>
      </w:r>
    </w:p>
    <w:p>
      <w:pPr>
        <w:pStyle w:val="Heading1"/>
      </w:pPr>
      <w:r>
        <w:t xml:space="preserve">7. FEES, INVOICING, AND TAXES</w:t>
      </w:r>
    </w:p>
    <w:p>
      <w:pPr>
        <w:pStyle w:val="Heading2"/>
      </w:pPr>
      <w:r>
        <w:t xml:space="preserve">7.1 Customer shall pay the Fees stated in each Order Form. Fees are fixed during the initial term unless an Order Form expressly provides a usage-based unit price. Vendor may not impose a platform, support, administration, minimum-use, or similar charge that the Order Form does not identify.</w:t>
      </w:r>
    </w:p>
    <w:p>
      <w:pPr>
        <w:pStyle w:val="Heading2"/>
      </w:pPr>
      <w:r>
        <w:t xml:space="preserve">7.2 Before engaging another provider, Customer must disclose and match for Vendor any more favourable commercial offer it receives.</w:t>
      </w:r>
    </w:p>
    <w:p>
      <w:pPr>
        <w:pStyle w:val="Heading2"/>
      </w:pPr>
      <w:r>
        <w:t xml:space="preserve">7.2 Vendor shall invoice no more frequently than monthly in arrears, except that an Order Form may state annual subscription Fees are invoiced in advance. Each invoice must identify the Order Form, period, Services, quantities, applicable credits, and a valid purchase-order number if Customer supplied one. Proper undisputed invoices are due forty-five days after receipt.</w:t>
      </w:r>
    </w:p>
    <w:p>
      <w:pPr>
        <w:pStyle w:val="Heading2"/>
      </w:pPr>
      <w:r>
        <w:t xml:space="preserve">7.3 Customer may withhold a genuinely disputed amount by notifying Vendor before its due date and explaining the basis. The Parties will work promptly and in good faith to resolve the dispute. Vendor shall continue the Services while a payment dispute is pending and shall not charge interest on an amount ultimately found not due.</w:t>
      </w:r>
    </w:p>
    <w:p>
      <w:pPr>
        <w:pStyle w:val="Heading2"/>
      </w:pPr>
      <w:r>
        <w:t xml:space="preserve">7.4 Fees exclude sales, use, value-added, and similar transaction taxes that Vendor is legally required to collect and separately states on a valid invoice. Customer is not responsible for taxes on Vendor's income, property, payroll, personnel, or franchise, or for taxes avoidable through Vendor's timely use of a valid exemption certificate.</w:t>
      </w:r>
    </w:p>
    <w:p>
      <w:pPr>
        <w:pStyle w:val="Heading2"/>
      </w:pPr>
      <w:r>
        <w:t xml:space="preserve">7.5 Pre-approved travel expenses are reimbursable at cost without markup and in accordance with Customer's travel policy. Vendor shall provide receipts and request reimbursement within sixty days. All other expenses are included in the Fees.</w:t>
      </w:r>
    </w:p>
    <w:p>
      <w:pPr>
        <w:pStyle w:val="Heading1"/>
      </w:pPr>
      <w:r>
        <w:t xml:space="preserve">8. TERM AND RENEWAL</w:t>
      </w:r>
    </w:p>
    <w:p>
      <w:pPr>
        <w:pStyle w:val="Heading2"/>
      </w:pPr>
      <w:r>
        <w:t xml:space="preserve">8.1 This Agreement begins on the Effective Date and continues for three years unless earlier terminated in accordance with its terms. Expiration of this Agreement does not itself terminate an Order Form then in effect; this Agreement continues to govern that Order Form until the Order Form expires or is terminated.</w:t>
      </w:r>
    </w:p>
    <w:p>
      <w:pPr>
        <w:pStyle w:val="Heading2"/>
      </w:pPr>
      <w:r>
        <w:t xml:space="preserve">8.2 Each Order Form has the initial term stated in it and thereafter renews for successive twelve-month periods unless Customer gives Vendor at least thirty days' written notice of non-renewal. Vendor shall remind Customer of an upcoming renewal at least sixty days beforehand. Failure to send the reminder extends Customer's opt-out deadline until thirty days after the reminder is received.</w:t>
      </w:r>
    </w:p>
    <w:p>
      <w:pPr>
        <w:pStyle w:val="Heading2"/>
      </w:pPr>
      <w:r>
        <w:t xml:space="preserve">8.3 On renewal, Vendor may increase recurring Fees only by the lesser of the increase in the United States Consumer Price Index for All Urban Consumers during the preceding twelve months and three percent. Vendor must give at least ninety days' written notice of an increase. No increase applies to prepaid periods.</w:t>
      </w:r>
    </w:p>
    <w:p>
      <w:pPr>
        <w:pStyle w:val="Heading1"/>
      </w:pPr>
      <w:r>
        <w:t xml:space="preserve">9. TERMINATION</w:t>
      </w:r>
    </w:p>
    <w:p>
      <w:pPr>
        <w:pStyle w:val="Heading2"/>
      </w:pPr>
      <w:r>
        <w:t xml:space="preserve">9.1 Either Party may terminate this Agreement or an affected Order Form for the other Party's material breach if the breach remains uncured thirty days after written notice describing it in reasonable detail. If a breach cannot reasonably be cured within thirty days, the cure period extends up to sixty additional days while the breaching Party diligently pursues cure.</w:t>
      </w:r>
    </w:p>
    <w:p>
      <w:pPr>
        <w:pStyle w:val="Heading2"/>
      </w:pPr>
      <w:r>
        <w:t xml:space="preserve">9.2 Either Party may terminate immediately by written notice if the other becomes insolvent, makes a general assignment for creditors, enters liquidation, or becomes subject to a bankruptcy proceeding not dismissed within sixty days. A lawful reorganization that does not impair performance is not, by itself, grounds for termination.</w:t>
      </w:r>
    </w:p>
    <w:p>
      <w:pPr>
        <w:pStyle w:val="Heading2"/>
      </w:pPr>
      <w:r>
        <w:t xml:space="preserve">9.3 Customer may terminate an Order Form immediately if Vendor suffers a material Security Incident, repeatedly misses a critical service level, violates Applicable Law in performing the Services, or infringes a third party's intellectual property and cannot provide the remedies required by Section 20.5.</w:t>
      </w:r>
    </w:p>
    <w:p>
      <w:pPr>
        <w:pStyle w:val="Heading2"/>
      </w:pPr>
      <w:r>
        <w:t xml:space="preserve">9.5 Termination of one Order Form does not terminate another Order Form unless Customer states that the affected Services are operationally inseparable. A termination right is in addition to, and does not exclude, any other remedy available under this Agreement or Applicable Law.</w:t>
      </w:r>
    </w:p>
    <w:p>
      <w:pPr>
        <w:pStyle w:val="Heading1"/>
      </w:pPr>
      <w:r>
        <w:t xml:space="preserve">10. EFFECT OF EXPIRY OR TERMINATION</w:t>
      </w:r>
    </w:p>
    <w:p>
      <w:pPr>
        <w:pStyle w:val="Heading2"/>
      </w:pPr>
      <w:r>
        <w:t xml:space="preserve">10.1 On expiry or termination, Customer's right to access terminated subscription Services ends after any agreed transition period. Rights in accepted Deliverables, paid-up licences, Customer Data, and materials Customer owned or licensed independently continue according to their terms.</w:t>
      </w:r>
    </w:p>
    <w:p>
      <w:pPr>
        <w:pStyle w:val="Heading2"/>
      </w:pPr>
      <w:r>
        <w:t xml:space="preserve">10.2 Vendor shall deliver all completed and in-process Deliverables for which Customer has paid or agrees to pay the applicable proportionate Fees. Vendor shall refund prepaid recurring Fees covering the period after termination, together with Fees paid for Services Customer cannot reasonably use because of Vendor's uncured breach.</w:t>
      </w:r>
    </w:p>
    <w:p>
      <w:pPr>
        <w:pStyle w:val="Heading1"/>
      </w:pPr>
      <w:r>
        <w:t xml:space="preserve">12. CUSTOMER RESPONSIBILITIES</w:t>
      </w:r>
    </w:p>
    <w:p>
      <w:pPr>
        <w:pStyle w:val="Heading2"/>
      </w:pPr>
      <w:r>
        <w:t xml:space="preserve">12.3 Nothing restricts Customer from developing, acquiring, licensing, selling, or using any product or service, engaging any supplier, hiring any person who responds to general recruitment, or conducting business in any field or territory. Vendor acknowledges that Customer has made no exclusivity, non-compete, most-favoured-customer, minimum-volume, or no-hire commitment.</w:t>
      </w:r>
    </w:p>
    <w:p>
      <w:pPr>
        <w:pStyle w:val="Heading2"/>
      </w:pPr>
      <w:r>
        <w:t xml:space="preserve">12.4 Customer shall not solicit, hire, or employ any Vendor employee during the term or for twenty-four months afterward, regardless of how the employee applies.</w:t>
      </w:r>
    </w:p>
    <w:p>
      <w:pPr>
        <w:pStyle w:val="Heading2"/>
      </w:pPr>
      <w:r>
        <w:t xml:space="preserve">12.4 During the term and for twenty-four months thereafter, Customer shall not develop, market, sell, or acquire any product or service that competes with Vendor in any territory.</w:t>
      </w:r>
    </w:p>
    <w:p>
      <w:pPr>
        <w:pStyle w:val="Heading1"/>
      </w:pPr>
      <w:r>
        <w:t xml:space="preserve">13. ACCESS RIGHTS AND LICENCE</w:t>
      </w:r>
    </w:p>
    <w:p>
      <w:pPr>
        <w:pStyle w:val="Heading2"/>
      </w:pPr>
      <w:r>
        <w:t xml:space="preserve">13.1 Subject to payment of applicable Fees, Vendor grants Customer, its Affiliates, and contractors acting on their behalf a worldwide, non-exclusive right during the subscription term to access and use the hosted Services and documentation for their internal business purposes and to provide services to Customer. Customer may permit Authorized Users to exercise those rights.</w:t>
      </w:r>
    </w:p>
    <w:p>
      <w:pPr>
        <w:pStyle w:val="Heading2"/>
      </w:pPr>
      <w:r>
        <w:t xml:space="preserve">13.2 For software and Vendor Technology delivered to Customer on a paid-up basis or embedded in a Deliverable, Vendor grants Customer and its Affiliates a perpetual, irrevocable, worldwide, royalty-free, fully paid licence to use, execute, reproduce, display, perform, modify, create derivative works from, and permit contractors to support that material for Customer's business.</w:t>
      </w:r>
    </w:p>
    <w:p>
      <w:pPr>
        <w:pStyle w:val="Heading2"/>
      </w:pPr>
      <w:r>
        <w:t xml:space="preserve">13.3 Customer may transfer its licence rights to an Affiliate or successor in connection with an assignment permitted by Section 24. Vendor shall not revoke or suspend a licence except during a material uncured payment or use breach affecting the licensed item, after notice and a reasonable opportunity to cure.</w:t>
      </w:r>
    </w:p>
    <w:p>
      <w:pPr>
        <w:pStyle w:val="Heading2"/>
      </w:pPr>
      <w:r>
        <w:t xml:space="preserve">13.4 Customer shall not knowingly reverse engineer hosted source code except to the extent a restriction is prohibited by Applicable Law, interfere with the Services, bypass documented security controls, or use the Services to violate Applicable Law. These restrictions do not limit testing authorized by the security exhibit or use of Customer Data and output.</w:t>
      </w:r>
    </w:p>
    <w:p>
      <w:pPr>
        <w:pStyle w:val="Heading1"/>
      </w:pPr>
      <w:r>
        <w:t xml:space="preserve">14. INTELLECTUAL PROPERTY AND DELIVERABLES</w:t>
      </w:r>
    </w:p>
    <w:p>
      <w:pPr>
        <w:pStyle w:val="Heading2"/>
      </w:pPr>
      <w:r>
        <w:t xml:space="preserve">14.1 As between the Parties, Customer owns all Customer Data, Customer Confidential Information, Customer-provided material, and intellectual property Customer owned or developed independently of the Services. No right transfers to Vendor except the limited right to process that material solely to provide, secure, support, and improve the Services for Customer.</w:t>
      </w:r>
    </w:p>
    <w:p>
      <w:pPr>
        <w:pStyle w:val="Heading2"/>
      </w:pPr>
      <w:r>
        <w:t xml:space="preserve">14.2 Vendor exclusively owns every Deliverable created for Customer. Customer receives a revocable, non-transferable licence to use a Deliverable only during the applicable Order Form term.</w:t>
      </w:r>
    </w:p>
    <w:p>
      <w:pPr>
        <w:pStyle w:val="Heading2"/>
      </w:pPr>
      <w:r>
        <w:t xml:space="preserve">14.3 Vendor retains Vendor Technology. To the extent Vendor Technology is incorporated in or required to use a Deliverable, the perpetual licence in Section 13.2 applies. Vendor shall identify material Vendor Technology in a Deliverable before delivery and may not incorporate third-party material that materially restricts Customer's intended use without written approval.</w:t>
      </w:r>
    </w:p>
    <w:p>
      <w:pPr>
        <w:pStyle w:val="Heading2"/>
      </w:pPr>
      <w:r>
        <w:t xml:space="preserve">14.4 No jointly owned intellectual property is created unless the Parties sign a separate instrument identifying it and their exploitation rights. Feedback is voluntary; Vendor may use generalized suggestions without identifying Customer or disclosing Customer Confidential Information, and Customer retains the unrestricted right to use its own feedback.</w:t>
      </w:r>
    </w:p>
    <w:p>
      <w:pPr>
        <w:pStyle w:val="Heading1"/>
      </w:pPr>
      <w:r>
        <w:t xml:space="preserve">15. CUSTOMER DATA AND PRIVACY</w:t>
      </w:r>
    </w:p>
    <w:p>
      <w:pPr>
        <w:pStyle w:val="Heading2"/>
      </w:pPr>
      <w:r>
        <w:t xml:space="preserve">15.1 Vendor shall process Customer Data only on Customer's documented instructions, to provide the Services, and as permitted by this Agreement. Vendor shall not sell Customer Data, use it for advertising, combine it with another customer's identifiable data, or train a generally available model on it without Customer's express written consent.</w:t>
      </w:r>
    </w:p>
    <w:p>
      <w:pPr>
        <w:pStyle w:val="Heading2"/>
      </w:pPr>
      <w:r>
        <w:t xml:space="preserve">15.2 Each Party shall comply with Applicable Law concerning personal information. If Vendor processes personal information for Customer, the Parties' data-processing addendum is incorporated. Vendor is a processor or service provider and shall assist Customer with data-subject requests, impact assessments, consultations, and regulatory inquiries.</w:t>
      </w:r>
    </w:p>
    <w:p>
      <w:pPr>
        <w:pStyle w:val="Heading1"/>
      </w:pPr>
      <w:r>
        <w:t xml:space="preserve">16. CONFIDENTIALITY</w:t>
      </w:r>
    </w:p>
    <w:p>
      <w:pPr>
        <w:pStyle w:val="Heading2"/>
      </w:pPr>
      <w:r>
        <w:t xml:space="preserve">16.1 “Confidential Information” means non-public information disclosed by or for a Party that is marked confidential or that a reasonable recipient would understand to be confidential given its nature and the circumstances. Customer Data, security information, product plans, pricing, personnel data, and the terms of this Agreement are Confidential Information whether or not marked.</w:t>
      </w:r>
    </w:p>
    <w:p>
      <w:pPr>
        <w:pStyle w:val="Heading2"/>
      </w:pPr>
      <w:r>
        <w:t xml:space="preserve">16.2 The recipient shall use Confidential Information only to perform or exercise rights under this Agreement, protect it with at least reasonable care, and disclose it only to personnel, Affiliates, advisers, and subcontractors who need to know and are bound by confidentiality obligations. The recipient is responsible for their unauthorized use or disclosure.</w:t>
      </w:r>
    </w:p>
    <w:p>
      <w:pPr>
        <w:pStyle w:val="Heading2"/>
      </w:pPr>
      <w:r>
        <w:t xml:space="preserve">16.5 On request or termination, the recipient shall return or destroy Confidential Information, subject to routine backups and legal retention. Duties for trade secrets continue while protected as trade secrets; duties for other Confidential Information continue for five years after disclosure. Customer Data remains governed by Sections 11 and 15.</w:t>
      </w:r>
    </w:p>
    <w:p>
      <w:pPr>
        <w:pStyle w:val="Heading1"/>
      </w:pPr>
      <w:r>
        <w:t xml:space="preserve">17. INFORMATION SECURITY</w:t>
      </w:r>
    </w:p>
    <w:p>
      <w:pPr>
        <w:pStyle w:val="Heading2"/>
      </w:pPr>
      <w:r>
        <w:t xml:space="preserve">17.1 Vendor shall maintain a written information-security program using administrative, technical, organizational, and physical safeguards appropriate to the sensitivity of Customer Data and risk. At minimum, Vendor shall implement least-privilege access, multifactor authentication, encryption in transit and at rest, secure development, vulnerability management, logging, backup, business continuity, and annual workforce training.</w:t>
      </w:r>
    </w:p>
    <w:p>
      <w:pPr>
        <w:pStyle w:val="Heading2"/>
      </w:pPr>
      <w:r>
        <w:t xml:space="preserve">17.2 Vendor shall notify Customer without undue delay and no later than twenty-four hours after confirming unauthorized access to, acquisition, disclosure, alteration, loss, or destruction of Customer Data or a material compromise of systems used to provide the Services (a “Security Incident”). Notice will include known facts, affected data and systems, containment, and a contact.</w:t>
      </w:r>
    </w:p>
    <w:p>
      <w:pPr>
        <w:pStyle w:val="Heading1"/>
      </w:pPr>
      <w:r>
        <w:t xml:space="preserve">18. INSURANCE</w:t>
      </w:r>
    </w:p>
    <w:p>
      <w:pPr>
        <w:pStyle w:val="Heading2"/>
      </w:pPr>
      <w:r>
        <w:t xml:space="preserve">18.1 Vendor shall maintain, at its own expense throughout the term and for one year afterward, commercial general liability insurance of at least USD 1,000,000 per occurrence and USD 2,000,000 aggregate, workers' compensation as required by law, employer's liability of USD 1,000,000, professional errors and omissions insurance of USD 2,000,000, and cyber and privacy liability insurance of USD 5,000,000.</w:t>
      </w:r>
    </w:p>
    <w:p>
      <w:pPr>
        <w:pStyle w:val="Heading2"/>
      </w:pPr>
      <w:r>
        <w:t xml:space="preserve">18.2 Policies will be issued by reputable insurers and be primary to Customer's insurance where commercially customary. On request, Vendor shall provide certificates of insurance and evidence of relevant coverage. Vendor shall give advance notice of cancellation or material reduction to the extent available from its insurer. Insurance does not limit Vendor's liabilities.</w:t>
      </w:r>
    </w:p>
    <w:p>
      <w:pPr>
        <w:pStyle w:val="Heading1"/>
      </w:pPr>
      <w:r>
        <w:t xml:space="preserve">19. WARRANTIES</w:t>
      </w:r>
    </w:p>
    <w:p>
      <w:pPr>
        <w:pStyle w:val="Heading2"/>
      </w:pPr>
      <w:r>
        <w:t xml:space="preserve">19.1 Vendor warrants that Services will be performed in a professional and workmanlike manner by qualified personnel, in accordance with industry standards, this Agreement, and each Order Form. Vendor further warrants that Services and Deliverables will materially conform to their documentation and agreed specifications.</w:t>
      </w:r>
    </w:p>
    <w:p>
      <w:pPr>
        <w:pStyle w:val="Heading2"/>
      </w:pPr>
      <w:r>
        <w:t xml:space="preserve">19.2 For ninety days after delivery or acceptance, whichever is later, each Deliverable will materially conform to its documentation and acceptance criteria. Hosted Services will conform throughout the subscription term. Vendor warrants it has authority to enter the Agreement and grant the rights stated here.</w:t>
      </w:r>
    </w:p>
    <w:p>
      <w:pPr>
        <w:pStyle w:val="Heading2"/>
      </w:pPr>
      <w:r>
        <w:t xml:space="preserve">19.3 Vendor warrants the Services and Deliverables will not contain malicious code intentionally introduced by Vendor, and that Vendor will comply with Applicable Law. Vendor will not materially diminish functionality during a term or use open-source software in a way that requires disclosure or licensing of Customer source code.</w:t>
      </w:r>
    </w:p>
    <w:p>
      <w:pPr>
        <w:pStyle w:val="Heading2"/>
      </w:pPr>
      <w:r>
        <w:t xml:space="preserve">19.4 For breach of Section 19.1 or 19.2, Vendor shall promptly re-perform, repair, or replace the nonconforming item at no charge. If Vendor cannot do so within a reasonable period, Customer may terminate the affected item and receive a refund of Fees paid for it. This remedy is not exclusive for fraud, infringement, confidentiality, privacy, security, or indemnified claims.</w:t>
      </w:r>
    </w:p>
    <w:p>
      <w:pPr>
        <w:pStyle w:val="Heading2"/>
      </w:pPr>
      <w:r>
        <w:t xml:space="preserve">19.5 Except for the express warranties in this Agreement, neither Party makes an implied warranty to the maximum extent lawful. No disclaimer limits an express warranty, service level, indemnity, confidentiality duty, data-protection duty, or remedy expressly provided here.</w:t>
      </w:r>
    </w:p>
    <w:p>
      <w:pPr>
        <w:pStyle w:val="Heading1"/>
      </w:pPr>
      <w:r>
        <w:t xml:space="preserve">21. LIMITATION OF LIABILITY</w:t>
      </w:r>
    </w:p>
    <w:p>
      <w:pPr>
        <w:pStyle w:val="Heading2"/>
      </w:pPr>
      <w:r>
        <w:t xml:space="preserve">21.1 Except for Excluded Claims, each Party's total aggregate liability arising out of or relating to this Agreement shall not exceed the greater of the Fees paid or payable by Customer during the twelve months preceding the event giving rise to the claim and USD 1,000,000. The cap is mutual and applies regardless of the form of action or number of claims.</w:t>
      </w:r>
    </w:p>
    <w:p>
      <w:pPr>
        <w:pStyle w:val="Heading2"/>
      </w:pPr>
      <w:r>
        <w:t xml:space="preserve">21.2 Except for Excluded Claims, neither Party is liable for indirect, incidental, special, exemplary, punitive, or consequential damages, or for lost profits, revenues, or goodwill, to the extent those damages are legally excludable. Costs of restoring Customer Data, obtaining replacement services, required notices, and reasonable incident response are direct damages.</w:t>
      </w:r>
    </w:p>
    <w:p>
      <w:pPr>
        <w:pStyle w:val="Heading2"/>
      </w:pPr>
      <w:r>
        <w:t xml:space="preserve">21.3 “Excluded Claims” means a Party's breach of confidentiality, data-protection, or security obligations; its indemnification obligations; gross negligence, wilful misconduct, or fraud; or infringement or misappropriation of the other Party's intellectual property. Customer's obligation to pay undisputed Fees for conforming Services is not damages and is not limited by this Section.</w:t>
      </w:r>
    </w:p>
    <w:p>
      <w:pPr>
        <w:pStyle w:val="Heading2"/>
      </w:pPr>
      <w:r>
        <w:t xml:space="preserve">21.4 The limitations allocate risk between sophisticated Parties and apply only to the maximum extent permitted by Applicable Law. Nothing limits liability that cannot lawfully be limited. Each cap and exclusion is independent and survives failure of an exclusive remedy.</w:t>
      </w:r>
    </w:p>
    <w:p>
      <w:pPr>
        <w:pStyle w:val="Heading1"/>
      </w:pPr>
      <w:r>
        <w:t xml:space="preserve">22. AUDIT RIGHTS</w:t>
      </w:r>
    </w:p>
    <w:p>
      <w:pPr>
        <w:pStyle w:val="Heading2"/>
      </w:pPr>
      <w:r>
        <w:t xml:space="preserve">22.1 Vendor may audit Customer's compliance with licence quantities no more than once in any twelve-month period, on at least thirty days' prior written notice, during normal business hours, and in a manner that does not unreasonably disrupt Customer. An audit will be conducted off-site where practicable by an independent auditor bound by confidentiality.</w:t>
      </w:r>
    </w:p>
    <w:p>
      <w:pPr>
        <w:pStyle w:val="Heading2"/>
      </w:pPr>
      <w:r>
        <w:t xml:space="preserve">22.2 Vendor bears audit costs unless the audit establishes an underpayment exceeding five percent for the audited period, in which case Customer will pay reasonable audit costs and the undisputed shortfall. Vendor and its auditor may not access Customer systems directly, Customer Data unrelated to usage, privileged material, or another supplier's confidential information.</w:t>
      </w:r>
    </w:p>
    <w:p>
      <w:pPr>
        <w:pStyle w:val="Heading2"/>
      </w:pPr>
      <w:r>
        <w:t xml:space="preserve">22.3 Audit findings are Customer Confidential Information and may be used only to enforce this Agreement. Vendor shall provide a copy of the final report. Payment of a shortfall resolves the audited quantity issue absent fraud or demonstrable error.</w:t>
      </w:r>
    </w:p>
    <w:p>
      <w:pPr>
        <w:pStyle w:val="Heading1"/>
      </w:pPr>
      <w:r>
        <w:t xml:space="preserve">23. RECORDS AND CUSTOMER ASSURANCE</w:t>
      </w:r>
    </w:p>
    <w:p>
      <w:pPr>
        <w:pStyle w:val="Heading1"/>
      </w:pPr>
      <w:r>
        <w:t xml:space="preserve">24. ASSIGNMENT AND CHANGE OF CONTROL</w:t>
      </w:r>
    </w:p>
    <w:p>
      <w:pPr>
        <w:pStyle w:val="Heading2"/>
      </w:pPr>
      <w:r>
        <w:t xml:space="preserve">24.1 Customer may assign this Agreement or an Order Form without Vendor's consent to an Affiliate or to a successor in a merger, reorganization, acquisition, or sale of all or substantially all assets or business to which the Agreement relates. Customer shall give prompt written notice, and the assignee shall assume the applicable obligations.</w:t>
      </w:r>
    </w:p>
    <w:p>
      <w:pPr>
        <w:pStyle w:val="Heading2"/>
      </w:pPr>
      <w:r>
        <w:t xml:space="preserve">24.2 Vendor may not assign this Agreement, delegate material performance, or transfer it by change of control without Customer's prior written consent, not to be unreasonably withheld for an assignee with adequate capability and financial standing. Vendor may never assign to a direct Customer competitor without Customer's consent.</w:t>
      </w:r>
    </w:p>
    <w:p>
      <w:pPr>
        <w:pStyle w:val="Heading2"/>
      </w:pPr>
      <w:r>
        <w:t xml:space="preserve">24.3 For other assignments, neither Party may assign without the other's prior written consent, not to be unreasonably withheld, conditioned, or delayed. A permitted assignment does not relieve accrued obligations. An attempted assignment contrary to this Section is void to the extent permitted by law.</w:t>
      </w:r>
    </w:p>
    <w:p>
      <w:pPr>
        <w:pStyle w:val="Heading2"/>
      </w:pPr>
      <w:r>
        <w:t xml:space="preserve">24.4 Customer's change of control does not give Vendor a right to terminate, suspend, reprice, accelerate Fees, or reduce service. Vendor shall cooperate with reasonable administrative changes needed to reflect a permitted successor.</w:t>
      </w:r>
    </w:p>
    <w:p>
      <w:pPr>
        <w:pStyle w:val="Heading1"/>
      </w:pPr>
      <w:r>
        <w:t xml:space="preserve">25. PUBLICITY AND MARKS</w:t>
      </w:r>
    </w:p>
    <w:p>
      <w:pPr>
        <w:pStyle w:val="Heading2"/>
      </w:pPr>
      <w:r>
        <w:t xml:space="preserve">25.1 Neither Party may issue a press release naming the other or use the other's names, trademarks, logos, or service marks in publicity, customer lists, case studies, or marketing without prior written consent in each instance. Customer may withdraw consent prospectively.</w:t>
      </w:r>
    </w:p>
    <w:p>
      <w:pPr>
        <w:pStyle w:val="Heading1"/>
      </w:pPr>
      <w:r>
        <w:t xml:space="preserve">26. COMPLIANCE WITH LAW AND ETHICS</w:t>
      </w:r>
    </w:p>
    <w:p>
      <w:pPr>
        <w:pStyle w:val="Heading2"/>
      </w:pPr>
      <w:r>
        <w:t xml:space="preserve">26.1 Each Party shall comply with Applicable Law in performing this Agreement. Vendor shall maintain policies reasonably designed to prevent bribery, corruption, forced labour, discrimination, retaliation, and conflicts of interest and shall provide annual compliance training to assigned personnel.</w:t>
      </w:r>
    </w:p>
    <w:p>
      <w:pPr>
        <w:pStyle w:val="Heading2"/>
      </w:pPr>
      <w:r>
        <w:t xml:space="preserve">26.2 Vendor represents it has not offered and will not offer anything of value to improperly influence an official or private person in connection with this Agreement. Vendor shall maintain accurate books and promptly report a credible suspected violation materially related to the Services.</w:t>
      </w:r>
    </w:p>
    <w:p>
      <w:pPr>
        <w:pStyle w:val="Heading2"/>
      </w:pPr>
      <w:r>
        <w:t xml:space="preserve">26.3 Each Party shall comply with applicable export-control and sanctions laws. Vendor is responsible for classifying Vendor Technology and identifying restrictions before delivery. Customer will not knowingly permit access from a comprehensively sanctioned jurisdiction contrary to written notice and Applicable Law.</w:t>
      </w:r>
    </w:p>
    <w:p>
      <w:pPr>
        <w:pStyle w:val="Heading2"/>
      </w:pPr>
      <w:r>
        <w:t xml:space="preserve">26.4 Vendor shall comply with reasonable Customer workplace, safety, security, and acceptable-use policies supplied in advance while accessing Customer facilities or systems. A policy does not amend commercial terms or impose obligations unrelated to that access.</w:t>
      </w:r>
    </w:p>
    <w:p>
      <w:pPr>
        <w:pStyle w:val="Heading1"/>
      </w:pPr>
      <w:r>
        <w:t xml:space="preserve">27. FORCE MAJEURE AND BUSINESS CONTINUITY</w:t>
      </w:r>
    </w:p>
    <w:p>
      <w:pPr>
        <w:pStyle w:val="Heading2"/>
      </w:pPr>
      <w:r>
        <w:t xml:space="preserve">27.1 Neither Party is liable for delay caused by an event beyond its reasonable control that could not have been prevented through reasonable care, excluding inability to pay, staffing shortages, subcontractor failure that could reasonably be avoided, or a cyberattack preventable by required safeguards. The affected Party shall promptly notify the other and mitigate.</w:t>
      </w:r>
    </w:p>
    <w:p>
      <w:pPr>
        <w:pStyle w:val="Heading2"/>
      </w:pPr>
      <w:r>
        <w:t xml:space="preserve">27.2 Vendor shall maintain and test at least annually business-continuity and disaster-recovery plans appropriate to the Services. Plans will address redundant systems, backups, recovery objectives, communications, and alternate personnel. Vendor shall provide a current executive summary on request.</w:t>
      </w:r>
    </w:p>
    <w:p>
      <w:pPr>
        <w:pStyle w:val="Heading2"/>
      </w:pPr>
      <w:r>
        <w:t xml:space="preserve">27.3 If a force-majeure event materially prevents an affected Service for more than fifteen consecutive days, Customer may procure substitute services and suspend affected Fees. After thirty consecutive days, Customer may terminate the affected Order Form without penalty and receive a refund of prepaid Fees for the unavailable period.</w:t>
      </w:r>
    </w:p>
    <w:p>
      <w:pPr>
        <w:pStyle w:val="Heading1"/>
      </w:pPr>
      <w:r>
        <w:t xml:space="preserve">28. GOVERNING LAW AND DISPUTE RESOLUTION</w:t>
      </w:r>
    </w:p>
    <w:p>
      <w:pPr>
        <w:pStyle w:val="Heading2"/>
      </w:pPr>
      <w:r>
        <w:t xml:space="preserve">28.1 This Agreement is governed exclusively by Singapore law, and the courts of Singapore have exclusive jurisdiction.</w:t>
      </w:r>
    </w:p>
    <w:p>
      <w:pPr>
        <w:pStyle w:val="Heading2"/>
      </w:pPr>
      <w:r>
        <w:t xml:space="preserve">28.2 The state and federal courts located in New York County, New York have exclusive jurisdiction, and each Party irrevocably submits to personal jurisdiction and waives any objection based on venue or inconvenient forum. Nothing prevents a Party from seeking temporary injunctive relief in another court with jurisdiction to protect confidential information or intellectual property.</w:t>
      </w:r>
    </w:p>
    <w:p>
      <w:pPr>
        <w:pStyle w:val="Heading2"/>
      </w:pPr>
      <w:r>
        <w:t xml:space="preserve">28.3 Before filing an ordinary commercial claim, a Party shall give notice and permit executives with settlement authority to meet in good faith within fifteen business days. This process does not delay urgent relief or a filing needed to preserve a limitations period. Discussions are compromise negotiations to the extent allowed by law.</w:t>
      </w:r>
    </w:p>
    <w:p>
      <w:pPr>
        <w:pStyle w:val="Heading1"/>
      </w:pPr>
      <w:r>
        <w:t xml:space="preserve">29. NOTICES</w:t>
      </w:r>
    </w:p>
    <w:p>
      <w:pPr>
        <w:pStyle w:val="Heading2"/>
      </w:pPr>
      <w:r>
        <w:t xml:space="preserve">29.1 Legal notices under this Agreement must be in writing and delivered by nationally recognized overnight courier or certified mail, return receipt requested, to the address in the preamble and by email to the legal-notice address stated in the applicable Order Form. Operational notices may be delivered through agreed service channels.</w:t>
      </w:r>
    </w:p>
    <w:p>
      <w:pPr>
        <w:pStyle w:val="Heading2"/>
      </w:pPr>
      <w:r>
        <w:t xml:space="preserve">29.2 Notice is effective on documented delivery, except a refusal is deemed delivery. A Party may change its notice address by notice under this Section. Email alone is insufficient for breach, termination, indemnity, assignment, or litigation notices unless receipt is affirmatively acknowledged.</w:t>
      </w:r>
    </w:p>
    <w:p>
      <w:pPr>
        <w:pStyle w:val="Heading2"/>
      </w:pPr>
      <w:r>
        <w:t xml:space="preserve">29.3 Notices to Customer must copy legal@northwind.example, and notices to Vendor must copy legal@brightline.example. Automated portal messages, invoices, and website postings are not legal notices.</w:t>
      </w:r>
    </w:p>
    <w:p>
      <w:pPr>
        <w:pStyle w:val="Heading1"/>
      </w:pPr>
      <w:r>
        <w:t xml:space="preserve">30. GENERAL</w:t>
      </w:r>
    </w:p>
    <w:p>
      <w:pPr>
        <w:pStyle w:val="Heading2"/>
      </w:pPr>
      <w:r>
        <w:t xml:space="preserve">30.1 The Parties are independent contractors. Nothing creates a partnership, joint venture, fiduciary relationship, franchise, or agency. Neither Party may bind the other. Vendor is solely responsible for compensation, direction, and taxes of its personnel.</w:t>
      </w:r>
    </w:p>
    <w:p>
      <w:pPr>
        <w:pStyle w:val="Heading2"/>
      </w:pPr>
      <w:r>
        <w:t xml:space="preserve">30.2 Neither Party's failure or delay in exercising a right waives it. A waiver must be written and signed by an authorized representative and applies only to the stated instance. Remedies are cumulative unless an exclusive remedy is expressly identified.</w:t>
      </w:r>
    </w:p>
    <w:p>
      <w:pPr>
        <w:pStyle w:val="Heading2"/>
      </w:pPr>
      <w:r>
        <w:t xml:space="preserve">30.3 If a court finds a provision unenforceable, it will be modified to the minimum extent needed to make it enforceable while preserving intent, and the remainder continues. Headings aid reference only. “Including” means “including without limitation,” and “or” is inclusive.</w:t>
      </w:r>
    </w:p>
    <w:p>
      <w:pPr>
        <w:pStyle w:val="Heading2"/>
      </w:pPr>
      <w:r>
        <w:t xml:space="preserve">30.4 This Agreement, its exhibits, and executed Order Forms are the entire agreement about their subject and supersede prior proposals, statements, and agreements. An amendment must be in a writing signed by authorized representatives of both Parties and expressly identify this Agreement.</w:t>
      </w:r>
    </w:p>
    <w:p>
      <w:pPr>
        <w:pStyle w:val="Heading2"/>
      </w:pPr>
      <w:r>
        <w:t xml:space="preserve">30.5 No person other than a Party, a Customer Affiliate ordering Services, a permitted successor, or an indemnified party has a right to enforce this Agreement. The Parties may amend or terminate it without another person's consent, subject to vested indemnity rights.</w:t>
      </w:r>
    </w:p>
    <w:p>
      <w:pPr>
        <w:pStyle w:val="Heading2"/>
      </w:pPr>
      <w:r>
        <w:t xml:space="preserve">30.6 This Agreement may be signed in counterparts, each treated as an original, and by electronic signature. An electronic copy is effective as an original. Each signatory represents that they are authorized to bind the named Party.</w:t>
      </w:r>
    </w:p>
    <w:p>
      <w:pPr>
        <w:pStyle w:val="Heading2"/>
      </w:pPr>
      <w:r>
        <w:t xml:space="preserve">30.7 Vendor shall not use an artificial-intelligence system to make a legally binding decision for Customer or submit Customer Confidential Information to a third-party model unless an Order Form expressly authorizes that use and specifies safeguards. Vendor remains responsible for output used in providing the Services.</w:t>
      </w:r>
    </w:p>
    <w:p>
      <w:pPr>
        <w:pStyle w:val="Heading2"/>
      </w:pPr>
      <w:r>
        <w:t xml:space="preserve">30.8 The Parties have caused their authorized representatives to execute this Agreement as of the Effective Date.</w:t>
      </w:r>
    </w:p>
    <w:p>
      <w:pPr>
        <w:pStyle w:val="Heading1"/>
      </w:pPr>
      <w:r>
        <w:t xml:space="preserve">JUNIPER RIDGE HEALTH, INC. (CUSTOMER)</w:t>
      </w:r>
    </w:p>
    <w:p>
      <w:r>
        <w:t xml:space="preserve">By: ______________________________ Name: __________________________ Title: ___________________________ Date: ____________________________</w:t>
      </w:r>
    </w:p>
    <w:p>
      <w:pPr>
        <w:pStyle w:val="Heading1"/>
      </w:pPr>
      <w:r>
        <w:t xml:space="preserve">COBALT CLOUD SERVICES LLC (VENDOR)</w:t>
      </w:r>
    </w:p>
    <w:p>
      <w:r>
        <w:t xml:space="preserve">By: ______________________________ Name: __________________________ Title: ___________________________ Date: ____________________________</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Master Services Agreement 12</dc:title>
  <dc:creator>Playbook Redliner</dc:creator>
  <cp:lastModifiedBy>Playbook Redliner</cp:lastModifiedBy>
  <dcterms:created xsi:type="dcterms:W3CDTF">2026-01-01T00:00:00Z</dcterms:created>
  <dcterms:modified xsi:type="dcterms:W3CDTF">2026-01-01T00:00:00Z</dcterms:modified>
</cp:coreProperties>
</file>