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184F5" w14:textId="77777777" w:rsidR="003C4B51" w:rsidRDefault="003C4B51">
      <w:pPr>
        <w:pageBreakBefore/>
        <w:spacing w:after="0" w:line="240" w:lineRule="auto"/>
      </w:pPr>
    </w:p>
    <w:p w14:paraId="758691BA" w14:textId="77777777" w:rsidR="003C4B51" w:rsidRDefault="00000000">
      <w:pPr>
        <w:spacing w:after="0" w:line="240" w:lineRule="auto"/>
      </w:pPr>
      <w:r>
        <w:rPr>
          <w:rFonts w:ascii="Arial" w:eastAsia="Arial" w:hAnsi="Arial" w:cs="Arial"/>
          <w:color w:val="252525"/>
          <w:sz w:val="61"/>
        </w:rPr>
        <w:t xml:space="preserve">This is a </w:t>
      </w:r>
      <w:proofErr w:type="gramStart"/>
      <w:r>
        <w:rPr>
          <w:rFonts w:ascii="Arial" w:eastAsia="Arial" w:hAnsi="Arial" w:cs="Arial"/>
          <w:color w:val="252525"/>
          <w:sz w:val="61"/>
        </w:rPr>
        <w:t>high-stakes</w:t>
      </w:r>
      <w:proofErr w:type="gramEnd"/>
      <w:r>
        <w:rPr>
          <w:rFonts w:ascii="Arial" w:eastAsia="Arial" w:hAnsi="Arial" w:cs="Arial"/>
          <w:color w:val="252525"/>
          <w:sz w:val="61"/>
        </w:rPr>
        <w:t xml:space="preserve"> balancing act. When students are disengaged and the pressure for "high outcomes" is on, the traditional "lecture harder" approach usually backfires. You need to shift from being a "sage on the stage" to a "facilitator of an experience."</w:t>
      </w:r>
    </w:p>
    <w:p w14:paraId="46918DE5" w14:textId="77777777" w:rsidR="003C4B51" w:rsidRDefault="00000000">
      <w:pPr>
        <w:spacing w:after="0" w:line="240" w:lineRule="auto"/>
      </w:pPr>
      <w:r>
        <w:rPr>
          <w:rFonts w:ascii="Arial" w:eastAsia="Arial" w:hAnsi="Arial" w:cs="Arial"/>
          <w:color w:val="252525"/>
          <w:sz w:val="61"/>
        </w:rPr>
        <w:t>Here is a comprehensive breakdown of the situation, the analysis, and a strategic action plan.</w:t>
      </w:r>
    </w:p>
    <w:p w14:paraId="58FD77CF" w14:textId="77777777" w:rsidR="003C4B51" w:rsidRDefault="00000000">
      <w:pPr>
        <w:spacing w:after="0" w:line="240" w:lineRule="auto"/>
      </w:pPr>
      <w:r>
        <w:rPr>
          <w:rFonts w:ascii="Arial" w:eastAsia="Arial" w:hAnsi="Arial" w:cs="Arial"/>
          <w:color w:val="252525"/>
          <w:sz w:val="61"/>
        </w:rPr>
        <w:t>1. Problem Statement</w:t>
      </w:r>
    </w:p>
    <w:p w14:paraId="0EEA3670" w14:textId="77777777" w:rsidR="003C4B51" w:rsidRDefault="00000000">
      <w:pPr>
        <w:spacing w:after="0" w:line="240" w:lineRule="auto"/>
      </w:pPr>
      <w:r>
        <w:rPr>
          <w:rFonts w:ascii="Arial" w:eastAsia="Arial" w:hAnsi="Arial" w:cs="Arial"/>
          <w:color w:val="252525"/>
          <w:sz w:val="61"/>
        </w:rPr>
        <w:t>The Challenge:</w:t>
      </w:r>
    </w:p>
    <w:p w14:paraId="4A37324A" w14:textId="77777777" w:rsidR="003C4B51" w:rsidRDefault="00000000">
      <w:pPr>
        <w:spacing w:after="0" w:line="240" w:lineRule="auto"/>
      </w:pPr>
      <w:r>
        <w:rPr>
          <w:rFonts w:ascii="Arial" w:eastAsia="Arial" w:hAnsi="Arial" w:cs="Arial"/>
          <w:color w:val="252525"/>
          <w:sz w:val="61"/>
        </w:rPr>
        <w:t xml:space="preserve">The instructional environment is currently experiencing a critical gap between administrative expectations and learner receptivity. While management mandates high-performance outcomes (standardized test scores, mastery of complex technical concepts), the student body exhibits chronic disengagement, likely due to a perceived lack of relevance, </w:t>
      </w:r>
    </w:p>
    <w:p w14:paraId="42912549" w14:textId="77777777" w:rsidR="003C4B51" w:rsidRDefault="003C4B51">
      <w:pPr>
        <w:pageBreakBefore/>
        <w:spacing w:after="0" w:line="240" w:lineRule="auto"/>
      </w:pPr>
    </w:p>
    <w:p w14:paraId="55504AA5" w14:textId="77777777" w:rsidR="003C4B51" w:rsidRDefault="00000000">
      <w:pPr>
        <w:spacing w:after="0" w:line="240" w:lineRule="auto"/>
      </w:pPr>
      <w:r>
        <w:rPr>
          <w:rFonts w:ascii="Arial" w:eastAsia="Arial" w:hAnsi="Arial" w:cs="Arial"/>
          <w:color w:val="252525"/>
          <w:sz w:val="61"/>
        </w:rPr>
        <w:t>cognitive overload, or "academic burnout."</w:t>
      </w:r>
    </w:p>
    <w:p w14:paraId="044C6FB7" w14:textId="77777777" w:rsidR="003C4B51" w:rsidRDefault="00000000">
      <w:pPr>
        <w:spacing w:after="0" w:line="240" w:lineRule="auto"/>
      </w:pPr>
      <w:r>
        <w:rPr>
          <w:rFonts w:ascii="Arial" w:eastAsia="Arial" w:hAnsi="Arial" w:cs="Arial"/>
          <w:color w:val="252525"/>
          <w:sz w:val="61"/>
        </w:rPr>
        <w:t>The Goal:</w:t>
      </w:r>
    </w:p>
    <w:p w14:paraId="036675CF" w14:textId="77777777" w:rsidR="003C4B51" w:rsidRDefault="00000000">
      <w:pPr>
        <w:spacing w:after="0" w:line="240" w:lineRule="auto"/>
      </w:pPr>
      <w:r>
        <w:rPr>
          <w:rFonts w:ascii="Arial" w:eastAsia="Arial" w:hAnsi="Arial" w:cs="Arial"/>
          <w:color w:val="252525"/>
          <w:sz w:val="61"/>
        </w:rPr>
        <w:t>To bridge the gap by implementing a high-impact, active-learning framework that restores student motivation without compromising the rigor required by management.</w:t>
      </w:r>
    </w:p>
    <w:p w14:paraId="0CC22DC4" w14:textId="77777777" w:rsidR="003C4B51" w:rsidRDefault="00000000">
      <w:pPr>
        <w:spacing w:after="0" w:line="240" w:lineRule="auto"/>
      </w:pPr>
      <w:r>
        <w:rPr>
          <w:rFonts w:ascii="Arial" w:eastAsia="Arial" w:hAnsi="Arial" w:cs="Arial"/>
          <w:color w:val="252525"/>
          <w:sz w:val="61"/>
        </w:rPr>
        <w:t>2. Situation Analysis</w:t>
      </w:r>
    </w:p>
    <w:p w14:paraId="10626816" w14:textId="77777777" w:rsidR="003C4B51" w:rsidRDefault="00000000">
      <w:pPr>
        <w:spacing w:after="0" w:line="240" w:lineRule="auto"/>
      </w:pPr>
      <w:r>
        <w:rPr>
          <w:rFonts w:ascii="Arial" w:eastAsia="Arial" w:hAnsi="Arial" w:cs="Arial"/>
          <w:color w:val="252525"/>
          <w:sz w:val="61"/>
        </w:rPr>
        <w:t xml:space="preserve">Before moving to solutions, we </w:t>
      </w:r>
      <w:proofErr w:type="gramStart"/>
      <w:r>
        <w:rPr>
          <w:rFonts w:ascii="Arial" w:eastAsia="Arial" w:hAnsi="Arial" w:cs="Arial"/>
          <w:color w:val="252525"/>
          <w:sz w:val="61"/>
        </w:rPr>
        <w:t>have to</w:t>
      </w:r>
      <w:proofErr w:type="gramEnd"/>
      <w:r>
        <w:rPr>
          <w:rFonts w:ascii="Arial" w:eastAsia="Arial" w:hAnsi="Arial" w:cs="Arial"/>
          <w:color w:val="252525"/>
          <w:sz w:val="61"/>
        </w:rPr>
        <w:t xml:space="preserve"> look at the "Why" behind the disengagement.</w:t>
      </w:r>
    </w:p>
    <w:p w14:paraId="2A3FCA18" w14:textId="77777777" w:rsidR="003C4B51" w:rsidRDefault="00000000">
      <w:pPr>
        <w:spacing w:after="0" w:line="240" w:lineRule="auto"/>
      </w:pPr>
      <w:r>
        <w:rPr>
          <w:rFonts w:ascii="Arial" w:eastAsia="Arial" w:hAnsi="Arial" w:cs="Arial"/>
          <w:color w:val="252525"/>
          <w:sz w:val="61"/>
        </w:rPr>
        <w:t>| Factor | Description | Impact |</w:t>
      </w:r>
    </w:p>
    <w:p w14:paraId="6C38B3BD" w14:textId="77777777" w:rsidR="003C4B51" w:rsidRDefault="00000000">
      <w:pPr>
        <w:spacing w:after="0" w:line="240" w:lineRule="auto"/>
      </w:pPr>
      <w:r>
        <w:rPr>
          <w:rFonts w:ascii="Arial" w:eastAsia="Arial" w:hAnsi="Arial" w:cs="Arial"/>
          <w:color w:val="252525"/>
          <w:sz w:val="61"/>
        </w:rPr>
        <w:t>|---|---|---|</w:t>
      </w:r>
    </w:p>
    <w:p w14:paraId="56543C44" w14:textId="77777777" w:rsidR="003C4B51" w:rsidRDefault="00000000">
      <w:pPr>
        <w:spacing w:after="0" w:line="240" w:lineRule="auto"/>
      </w:pPr>
      <w:r>
        <w:rPr>
          <w:rFonts w:ascii="Arial" w:eastAsia="Arial" w:hAnsi="Arial" w:cs="Arial"/>
          <w:color w:val="252525"/>
          <w:sz w:val="61"/>
        </w:rPr>
        <w:t xml:space="preserve">| Cognitive Load | The topic is inherently "hard" (abstract or multi-step). | Students "shut down" as a </w:t>
      </w:r>
      <w:proofErr w:type="spellStart"/>
      <w:r>
        <w:rPr>
          <w:rFonts w:ascii="Arial" w:eastAsia="Arial" w:hAnsi="Arial" w:cs="Arial"/>
          <w:color w:val="252525"/>
          <w:sz w:val="61"/>
        </w:rPr>
        <w:t>defense</w:t>
      </w:r>
      <w:proofErr w:type="spellEnd"/>
      <w:r>
        <w:rPr>
          <w:rFonts w:ascii="Arial" w:eastAsia="Arial" w:hAnsi="Arial" w:cs="Arial"/>
          <w:color w:val="252525"/>
          <w:sz w:val="61"/>
        </w:rPr>
        <w:t xml:space="preserve"> mechanism against confusion. |</w:t>
      </w:r>
    </w:p>
    <w:p w14:paraId="7898D80A" w14:textId="77777777" w:rsidR="003C4B51" w:rsidRDefault="00000000">
      <w:pPr>
        <w:spacing w:after="0" w:line="240" w:lineRule="auto"/>
      </w:pPr>
      <w:r>
        <w:rPr>
          <w:rFonts w:ascii="Arial" w:eastAsia="Arial" w:hAnsi="Arial" w:cs="Arial"/>
          <w:color w:val="252525"/>
          <w:sz w:val="61"/>
        </w:rPr>
        <w:t>| Value Gap | Students don't see how the topic applies to their lives. | Motivation drops because the effort-to-reward ratio seems poor. |</w:t>
      </w:r>
    </w:p>
    <w:p w14:paraId="1AA4E196" w14:textId="77777777" w:rsidR="003C4B51" w:rsidRDefault="003C4B51">
      <w:pPr>
        <w:pageBreakBefore/>
        <w:spacing w:after="0" w:line="240" w:lineRule="auto"/>
      </w:pPr>
    </w:p>
    <w:p w14:paraId="426EE4F9" w14:textId="77777777" w:rsidR="003C4B51" w:rsidRDefault="00000000">
      <w:pPr>
        <w:spacing w:after="0" w:line="240" w:lineRule="auto"/>
      </w:pPr>
      <w:r>
        <w:rPr>
          <w:rFonts w:ascii="Arial" w:eastAsia="Arial" w:hAnsi="Arial" w:cs="Arial"/>
          <w:color w:val="252525"/>
          <w:sz w:val="61"/>
        </w:rPr>
        <w:t>| The "Wall" | High management pressure often creates a tense classroom climate. | Anxiety replaces curiosity, hindering long-term memory retention. |</w:t>
      </w:r>
    </w:p>
    <w:p w14:paraId="3353081D" w14:textId="77777777" w:rsidR="003C4B51" w:rsidRDefault="00000000">
      <w:pPr>
        <w:spacing w:after="0" w:line="240" w:lineRule="auto"/>
      </w:pPr>
      <w:r>
        <w:rPr>
          <w:rFonts w:ascii="Arial" w:eastAsia="Arial" w:hAnsi="Arial" w:cs="Arial"/>
          <w:color w:val="252525"/>
          <w:sz w:val="61"/>
        </w:rPr>
        <w:t>3. Strategic Action Plan (The "Outcome-Driven" Framework)</w:t>
      </w:r>
    </w:p>
    <w:p w14:paraId="136B0A58" w14:textId="77777777" w:rsidR="003C4B51" w:rsidRDefault="00000000">
      <w:pPr>
        <w:spacing w:after="0" w:line="240" w:lineRule="auto"/>
      </w:pPr>
      <w:r>
        <w:rPr>
          <w:rFonts w:ascii="Arial" w:eastAsia="Arial" w:hAnsi="Arial" w:cs="Arial"/>
          <w:color w:val="252525"/>
          <w:sz w:val="61"/>
        </w:rPr>
        <w:t>To satisfy both management and students, I recommend the "Hook, Chunk, and Gamify" approach.</w:t>
      </w:r>
    </w:p>
    <w:p w14:paraId="0C78823A" w14:textId="77777777" w:rsidR="003C4B51" w:rsidRDefault="00000000">
      <w:pPr>
        <w:spacing w:after="0" w:line="240" w:lineRule="auto"/>
      </w:pPr>
      <w:r>
        <w:rPr>
          <w:rFonts w:ascii="Arial" w:eastAsia="Arial" w:hAnsi="Arial" w:cs="Arial"/>
          <w:color w:val="252525"/>
          <w:sz w:val="61"/>
        </w:rPr>
        <w:t>Phase A: The "Hook" (Contextual Relevance)</w:t>
      </w:r>
    </w:p>
    <w:p w14:paraId="06289DA7" w14:textId="77777777" w:rsidR="003C4B51" w:rsidRDefault="00000000">
      <w:pPr>
        <w:spacing w:after="0" w:line="240" w:lineRule="auto"/>
      </w:pPr>
      <w:r>
        <w:rPr>
          <w:rFonts w:ascii="Arial" w:eastAsia="Arial" w:hAnsi="Arial" w:cs="Arial"/>
          <w:color w:val="252525"/>
          <w:sz w:val="61"/>
        </w:rPr>
        <w:t xml:space="preserve">Don't start with the theory. Start with a problem the students </w:t>
      </w:r>
      <w:proofErr w:type="gramStart"/>
      <w:r>
        <w:rPr>
          <w:rFonts w:ascii="Arial" w:eastAsia="Arial" w:hAnsi="Arial" w:cs="Arial"/>
          <w:color w:val="252525"/>
          <w:sz w:val="61"/>
        </w:rPr>
        <w:t>actually care</w:t>
      </w:r>
      <w:proofErr w:type="gramEnd"/>
      <w:r>
        <w:rPr>
          <w:rFonts w:ascii="Arial" w:eastAsia="Arial" w:hAnsi="Arial" w:cs="Arial"/>
          <w:color w:val="252525"/>
          <w:sz w:val="61"/>
        </w:rPr>
        <w:t xml:space="preserve"> about.</w:t>
      </w:r>
    </w:p>
    <w:p w14:paraId="5F34B415" w14:textId="77777777" w:rsidR="003C4B51" w:rsidRDefault="00000000">
      <w:pPr>
        <w:spacing w:after="0" w:line="240" w:lineRule="auto"/>
      </w:pPr>
      <w:r>
        <w:rPr>
          <w:rFonts w:ascii="Arial" w:eastAsia="Arial" w:hAnsi="Arial" w:cs="Arial"/>
          <w:color w:val="252525"/>
          <w:sz w:val="61"/>
        </w:rPr>
        <w:t xml:space="preserve"> * Case Studies: If teaching physics, don't start with formulas; start with how a Formula 1 car stays on the track.</w:t>
      </w:r>
    </w:p>
    <w:p w14:paraId="03ED6E1D" w14:textId="77777777" w:rsidR="003C4B51" w:rsidRDefault="00000000">
      <w:pPr>
        <w:spacing w:after="0" w:line="240" w:lineRule="auto"/>
      </w:pPr>
      <w:r>
        <w:rPr>
          <w:rFonts w:ascii="Arial" w:eastAsia="Arial" w:hAnsi="Arial" w:cs="Arial"/>
          <w:color w:val="252525"/>
          <w:sz w:val="61"/>
        </w:rPr>
        <w:t xml:space="preserve"> * The "So What?" Factor: Explicitly state how mastering this "hard" topic provides a competitive advantage or solves a real-world annoyance.</w:t>
      </w:r>
    </w:p>
    <w:p w14:paraId="46A5F1E7" w14:textId="77777777" w:rsidR="003C4B51" w:rsidRDefault="00000000">
      <w:pPr>
        <w:spacing w:after="0" w:line="240" w:lineRule="auto"/>
      </w:pPr>
      <w:r>
        <w:rPr>
          <w:rFonts w:ascii="Arial" w:eastAsia="Arial" w:hAnsi="Arial" w:cs="Arial"/>
          <w:color w:val="252525"/>
          <w:sz w:val="61"/>
        </w:rPr>
        <w:t>Phase B: Scaffolding and "Chunking"</w:t>
      </w:r>
    </w:p>
    <w:p w14:paraId="673DFA91" w14:textId="77777777" w:rsidR="003C4B51" w:rsidRDefault="003C4B51">
      <w:pPr>
        <w:pageBreakBefore/>
        <w:spacing w:after="0" w:line="240" w:lineRule="auto"/>
      </w:pPr>
    </w:p>
    <w:p w14:paraId="4FC269BC" w14:textId="77777777" w:rsidR="003C4B51" w:rsidRDefault="00000000">
      <w:pPr>
        <w:spacing w:after="0" w:line="240" w:lineRule="auto"/>
      </w:pPr>
      <w:r>
        <w:rPr>
          <w:rFonts w:ascii="Arial" w:eastAsia="Arial" w:hAnsi="Arial" w:cs="Arial"/>
          <w:color w:val="252525"/>
          <w:sz w:val="61"/>
        </w:rPr>
        <w:t xml:space="preserve">Break the "hard" topic into micro-lessons. Management wants high </w:t>
      </w:r>
      <w:proofErr w:type="gramStart"/>
      <w:r>
        <w:rPr>
          <w:rFonts w:ascii="Arial" w:eastAsia="Arial" w:hAnsi="Arial" w:cs="Arial"/>
          <w:color w:val="252525"/>
          <w:sz w:val="61"/>
        </w:rPr>
        <w:t>outcomes?</w:t>
      </w:r>
      <w:proofErr w:type="gramEnd"/>
      <w:r>
        <w:rPr>
          <w:rFonts w:ascii="Arial" w:eastAsia="Arial" w:hAnsi="Arial" w:cs="Arial"/>
          <w:color w:val="252525"/>
          <w:sz w:val="61"/>
        </w:rPr>
        <w:t xml:space="preserve"> You get there by ensuring no student falls off the ladder at step one.</w:t>
      </w:r>
    </w:p>
    <w:p w14:paraId="705F4210" w14:textId="77777777" w:rsidR="003C4B51" w:rsidRDefault="00000000">
      <w:pPr>
        <w:spacing w:after="0" w:line="240" w:lineRule="auto"/>
      </w:pPr>
      <w:r>
        <w:rPr>
          <w:rFonts w:ascii="Arial" w:eastAsia="Arial" w:hAnsi="Arial" w:cs="Arial"/>
          <w:color w:val="252525"/>
          <w:sz w:val="61"/>
        </w:rPr>
        <w:t xml:space="preserve"> * 10-2 Rule: Teach for 10 minutes, then let them process for 2 minutes (discuss with a partner, quick sketch, or a "poll").</w:t>
      </w:r>
    </w:p>
    <w:p w14:paraId="117647D1" w14:textId="77777777" w:rsidR="003C4B51" w:rsidRDefault="00000000">
      <w:pPr>
        <w:spacing w:after="0" w:line="240" w:lineRule="auto"/>
      </w:pPr>
      <w:r>
        <w:rPr>
          <w:rFonts w:ascii="Arial" w:eastAsia="Arial" w:hAnsi="Arial" w:cs="Arial"/>
          <w:color w:val="252525"/>
          <w:sz w:val="61"/>
        </w:rPr>
        <w:t xml:space="preserve"> * Visual Mapping: Use flowcharts and diagrams to turn abstract text into visible systems.</w:t>
      </w:r>
    </w:p>
    <w:p w14:paraId="01ADD4E7" w14:textId="77777777" w:rsidR="003C4B51" w:rsidRDefault="00000000">
      <w:pPr>
        <w:spacing w:after="0" w:line="240" w:lineRule="auto"/>
      </w:pPr>
      <w:r>
        <w:rPr>
          <w:rFonts w:ascii="Arial" w:eastAsia="Arial" w:hAnsi="Arial" w:cs="Arial"/>
          <w:color w:val="252525"/>
          <w:sz w:val="61"/>
        </w:rPr>
        <w:t>Phase C: Gamified Assessment (Data for Management)</w:t>
      </w:r>
    </w:p>
    <w:p w14:paraId="04CD4956" w14:textId="77777777" w:rsidR="003C4B51" w:rsidRDefault="00000000">
      <w:pPr>
        <w:spacing w:after="0" w:line="240" w:lineRule="auto"/>
      </w:pPr>
      <w:r>
        <w:rPr>
          <w:rFonts w:ascii="Arial" w:eastAsia="Arial" w:hAnsi="Arial" w:cs="Arial"/>
          <w:color w:val="252525"/>
          <w:sz w:val="61"/>
        </w:rPr>
        <w:t>Management needs proof of outcomes. Use digital tools to get real-time data while keeping students engaged.</w:t>
      </w:r>
    </w:p>
    <w:p w14:paraId="52830A30" w14:textId="77777777" w:rsidR="003C4B51" w:rsidRDefault="00000000">
      <w:pPr>
        <w:spacing w:after="0" w:line="240" w:lineRule="auto"/>
      </w:pPr>
      <w:r>
        <w:rPr>
          <w:rFonts w:ascii="Arial" w:eastAsia="Arial" w:hAnsi="Arial" w:cs="Arial"/>
          <w:color w:val="252525"/>
          <w:sz w:val="61"/>
        </w:rPr>
        <w:t xml:space="preserve"> * Competitive Drills: Use platforms like Kahoot! or Quizizz. It feels like a game to them, but it generates a spreadsheet of "</w:t>
      </w:r>
      <w:proofErr w:type="gramStart"/>
      <w:r>
        <w:rPr>
          <w:rFonts w:ascii="Arial" w:eastAsia="Arial" w:hAnsi="Arial" w:cs="Arial"/>
          <w:color w:val="252525"/>
          <w:sz w:val="61"/>
        </w:rPr>
        <w:t>high-outcome</w:t>
      </w:r>
      <w:proofErr w:type="gramEnd"/>
      <w:r>
        <w:rPr>
          <w:rFonts w:ascii="Arial" w:eastAsia="Arial" w:hAnsi="Arial" w:cs="Arial"/>
          <w:color w:val="252525"/>
          <w:sz w:val="61"/>
        </w:rPr>
        <w:t>" data for you to show management.</w:t>
      </w:r>
    </w:p>
    <w:p w14:paraId="082AA8C6" w14:textId="77777777" w:rsidR="003C4B51" w:rsidRDefault="00000000">
      <w:pPr>
        <w:spacing w:after="0" w:line="240" w:lineRule="auto"/>
      </w:pPr>
      <w:r>
        <w:rPr>
          <w:rFonts w:ascii="Arial" w:eastAsia="Arial" w:hAnsi="Arial" w:cs="Arial"/>
          <w:color w:val="252525"/>
          <w:sz w:val="61"/>
        </w:rPr>
        <w:t xml:space="preserve"> * The "Boss Level": Frame the final exam </w:t>
      </w:r>
    </w:p>
    <w:p w14:paraId="67997A36" w14:textId="77777777" w:rsidR="003C4B51" w:rsidRDefault="003C4B51">
      <w:pPr>
        <w:pageBreakBefore/>
        <w:spacing w:after="0" w:line="240" w:lineRule="auto"/>
      </w:pPr>
    </w:p>
    <w:p w14:paraId="05F251FF" w14:textId="77777777" w:rsidR="003C4B51" w:rsidRDefault="00000000">
      <w:pPr>
        <w:spacing w:after="0" w:line="240" w:lineRule="auto"/>
      </w:pPr>
      <w:r>
        <w:rPr>
          <w:rFonts w:ascii="Arial" w:eastAsia="Arial" w:hAnsi="Arial" w:cs="Arial"/>
          <w:color w:val="252525"/>
          <w:sz w:val="61"/>
        </w:rPr>
        <w:t>or project as a "Boss Level" they have been training for.</w:t>
      </w:r>
    </w:p>
    <w:p w14:paraId="3C405816" w14:textId="77777777" w:rsidR="003C4B51" w:rsidRDefault="00000000">
      <w:pPr>
        <w:spacing w:after="0" w:line="240" w:lineRule="auto"/>
      </w:pPr>
      <w:r>
        <w:rPr>
          <w:rFonts w:ascii="Arial" w:eastAsia="Arial" w:hAnsi="Arial" w:cs="Arial"/>
          <w:color w:val="252525"/>
          <w:sz w:val="61"/>
        </w:rPr>
        <w:t>4. Elaborate Instructional Strategy Document</w:t>
      </w:r>
    </w:p>
    <w:p w14:paraId="0B802387" w14:textId="77777777" w:rsidR="003C4B51" w:rsidRDefault="00000000">
      <w:pPr>
        <w:spacing w:after="0" w:line="240" w:lineRule="auto"/>
      </w:pPr>
      <w:r>
        <w:rPr>
          <w:rFonts w:ascii="Arial" w:eastAsia="Arial" w:hAnsi="Arial" w:cs="Arial"/>
          <w:color w:val="252525"/>
          <w:sz w:val="61"/>
        </w:rPr>
        <w:t>Subject: Optimization of Learner Engagement for High-Rigor Curriculum</w:t>
      </w:r>
    </w:p>
    <w:p w14:paraId="4DDFBC39" w14:textId="77777777" w:rsidR="003C4B51" w:rsidRDefault="00000000">
      <w:pPr>
        <w:spacing w:after="0" w:line="240" w:lineRule="auto"/>
      </w:pPr>
      <w:r>
        <w:rPr>
          <w:rFonts w:ascii="Arial" w:eastAsia="Arial" w:hAnsi="Arial" w:cs="Arial"/>
          <w:color w:val="252525"/>
          <w:sz w:val="61"/>
        </w:rPr>
        <w:t>Target: High-Outcome Delivery</w:t>
      </w:r>
    </w:p>
    <w:p w14:paraId="1B44A9CE" w14:textId="77777777" w:rsidR="003C4B51" w:rsidRDefault="00000000">
      <w:pPr>
        <w:spacing w:after="0" w:line="240" w:lineRule="auto"/>
      </w:pPr>
      <w:r>
        <w:rPr>
          <w:rFonts w:ascii="Arial" w:eastAsia="Arial" w:hAnsi="Arial" w:cs="Arial"/>
          <w:color w:val="252525"/>
          <w:sz w:val="61"/>
        </w:rPr>
        <w:t>I. Executive Summary:</w:t>
      </w:r>
    </w:p>
    <w:p w14:paraId="3433082C" w14:textId="77777777" w:rsidR="003C4B51" w:rsidRDefault="00000000">
      <w:pPr>
        <w:spacing w:after="0" w:line="240" w:lineRule="auto"/>
      </w:pPr>
      <w:r>
        <w:rPr>
          <w:rFonts w:ascii="Arial" w:eastAsia="Arial" w:hAnsi="Arial" w:cs="Arial"/>
          <w:color w:val="252525"/>
          <w:sz w:val="61"/>
        </w:rPr>
        <w:t>This strategy utilizes Active Learning Pedagogy to meet management KPIs. By transitioning from passive instruction to a "Challenge-Based" model, we aim to increase retention rates by an estimated 30-40%.</w:t>
      </w:r>
    </w:p>
    <w:p w14:paraId="24CD4CA3" w14:textId="77777777" w:rsidR="003C4B51" w:rsidRDefault="00000000">
      <w:pPr>
        <w:spacing w:after="0" w:line="240" w:lineRule="auto"/>
      </w:pPr>
      <w:r>
        <w:rPr>
          <w:rFonts w:ascii="Arial" w:eastAsia="Arial" w:hAnsi="Arial" w:cs="Arial"/>
          <w:color w:val="252525"/>
          <w:sz w:val="61"/>
        </w:rPr>
        <w:t>II. Implementation Steps:</w:t>
      </w:r>
    </w:p>
    <w:p w14:paraId="7301DC15" w14:textId="77777777" w:rsidR="003C4B51" w:rsidRDefault="00000000">
      <w:pPr>
        <w:spacing w:after="0" w:line="240" w:lineRule="auto"/>
      </w:pPr>
      <w:r>
        <w:rPr>
          <w:rFonts w:ascii="Arial" w:eastAsia="Arial" w:hAnsi="Arial" w:cs="Arial"/>
          <w:color w:val="252525"/>
          <w:sz w:val="61"/>
        </w:rPr>
        <w:t xml:space="preserve"> * Low-Stakes Retrieval Practice: Start every class with a 3-minute "brain dump" of the previous lesson. This builds confidence.</w:t>
      </w:r>
    </w:p>
    <w:p w14:paraId="29650DC9" w14:textId="77777777" w:rsidR="003C4B51" w:rsidRDefault="00000000">
      <w:pPr>
        <w:spacing w:after="0" w:line="240" w:lineRule="auto"/>
      </w:pPr>
      <w:r>
        <w:rPr>
          <w:rFonts w:ascii="Arial" w:eastAsia="Arial" w:hAnsi="Arial" w:cs="Arial"/>
          <w:color w:val="252525"/>
          <w:sz w:val="61"/>
        </w:rPr>
        <w:t xml:space="preserve"> * Peer-to-Peer Teaching: Assign small groups to "own" a sub-section of the hard </w:t>
      </w:r>
    </w:p>
    <w:p w14:paraId="24CEB11C" w14:textId="77777777" w:rsidR="003C4B51" w:rsidRDefault="003C4B51">
      <w:pPr>
        <w:pageBreakBefore/>
        <w:spacing w:after="0" w:line="240" w:lineRule="auto"/>
      </w:pPr>
    </w:p>
    <w:p w14:paraId="286D57E4" w14:textId="77777777" w:rsidR="003C4B51" w:rsidRDefault="00000000">
      <w:pPr>
        <w:spacing w:after="0" w:line="240" w:lineRule="auto"/>
      </w:pPr>
      <w:r>
        <w:rPr>
          <w:rFonts w:ascii="Arial" w:eastAsia="Arial" w:hAnsi="Arial" w:cs="Arial"/>
          <w:color w:val="252525"/>
          <w:sz w:val="61"/>
        </w:rPr>
        <w:t>topic. They teach each other. (Students are often more engaged when their peers are speaking).</w:t>
      </w:r>
    </w:p>
    <w:p w14:paraId="05D17BB5" w14:textId="77777777" w:rsidR="003C4B51" w:rsidRDefault="00000000">
      <w:pPr>
        <w:spacing w:after="0" w:line="240" w:lineRule="auto"/>
      </w:pPr>
      <w:r>
        <w:rPr>
          <w:rFonts w:ascii="Arial" w:eastAsia="Arial" w:hAnsi="Arial" w:cs="Arial"/>
          <w:color w:val="252525"/>
          <w:sz w:val="61"/>
        </w:rPr>
        <w:t xml:space="preserve"> * The "Feedback Loop": Provide immediate, constructive feedback. Disengagement often stems from a student feeling they are "bad at the subject." Quick wins change that narrative.</w:t>
      </w:r>
    </w:p>
    <w:p w14:paraId="508372DE" w14:textId="77777777" w:rsidR="003C4B51" w:rsidRDefault="00000000">
      <w:pPr>
        <w:spacing w:after="0" w:line="240" w:lineRule="auto"/>
      </w:pPr>
      <w:r>
        <w:rPr>
          <w:rFonts w:ascii="Arial" w:eastAsia="Arial" w:hAnsi="Arial" w:cs="Arial"/>
          <w:color w:val="252525"/>
          <w:sz w:val="61"/>
        </w:rPr>
        <w:t>III. Data Collection for Management:</w:t>
      </w:r>
    </w:p>
    <w:p w14:paraId="5DDA9D9E" w14:textId="77777777" w:rsidR="003C4B51" w:rsidRDefault="00000000">
      <w:pPr>
        <w:spacing w:after="0" w:line="240" w:lineRule="auto"/>
      </w:pPr>
      <w:r>
        <w:rPr>
          <w:rFonts w:ascii="Arial" w:eastAsia="Arial" w:hAnsi="Arial" w:cs="Arial"/>
          <w:color w:val="252525"/>
          <w:sz w:val="61"/>
        </w:rPr>
        <w:t xml:space="preserve"> * Pre-and-Post Testing: Show a clear "Growth Delta" to prove the strategy is working.</w:t>
      </w:r>
    </w:p>
    <w:p w14:paraId="26DD909D" w14:textId="77777777" w:rsidR="003C4B51" w:rsidRDefault="00000000">
      <w:pPr>
        <w:spacing w:after="0" w:line="240" w:lineRule="auto"/>
      </w:pPr>
      <w:r>
        <w:rPr>
          <w:rFonts w:ascii="Arial" w:eastAsia="Arial" w:hAnsi="Arial" w:cs="Arial"/>
          <w:color w:val="252525"/>
          <w:sz w:val="61"/>
        </w:rPr>
        <w:t xml:space="preserve"> * Engagement Metrics: Track participation rates in gamified modules.</w:t>
      </w:r>
    </w:p>
    <w:p w14:paraId="1D01A530" w14:textId="77777777" w:rsidR="003C4B51" w:rsidRDefault="00000000">
      <w:pPr>
        <w:spacing w:after="0" w:line="240" w:lineRule="auto"/>
      </w:pPr>
      <w:r>
        <w:rPr>
          <w:rFonts w:ascii="Arial" w:eastAsia="Arial" w:hAnsi="Arial" w:cs="Arial"/>
          <w:color w:val="252525"/>
          <w:sz w:val="61"/>
        </w:rPr>
        <w:t>5. Summary Recommendation</w:t>
      </w:r>
    </w:p>
    <w:p w14:paraId="632AE738" w14:textId="77777777" w:rsidR="003C4B51" w:rsidRDefault="00000000">
      <w:pPr>
        <w:spacing w:after="0" w:line="240" w:lineRule="auto"/>
      </w:pPr>
      <w:r>
        <w:rPr>
          <w:rFonts w:ascii="Arial" w:eastAsia="Arial" w:hAnsi="Arial" w:cs="Arial"/>
          <w:color w:val="252525"/>
          <w:sz w:val="61"/>
        </w:rPr>
        <w:t xml:space="preserve">To succeed here, you must market the topic to the students while reporting the data to the management. Treat the students like "clients" who need to be convinced, and management like "investors" who need to see a return on </w:t>
      </w:r>
    </w:p>
    <w:p w14:paraId="7FF545CD" w14:textId="77777777" w:rsidR="003C4B51" w:rsidRDefault="003C4B51">
      <w:pPr>
        <w:pageBreakBefore/>
        <w:spacing w:after="0" w:line="240" w:lineRule="auto"/>
      </w:pPr>
    </w:p>
    <w:p w14:paraId="7F83D057" w14:textId="77777777" w:rsidR="003C4B51" w:rsidRDefault="00000000">
      <w:pPr>
        <w:spacing w:after="0" w:line="240" w:lineRule="auto"/>
      </w:pPr>
      <w:r>
        <w:rPr>
          <w:rFonts w:ascii="Arial" w:eastAsia="Arial" w:hAnsi="Arial" w:cs="Arial"/>
          <w:color w:val="252525"/>
          <w:sz w:val="61"/>
        </w:rPr>
        <w:t>their time.</w:t>
      </w:r>
    </w:p>
    <w:sectPr w:rsidR="003C4B5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C4B51"/>
    <w:rsid w:val="000562A9"/>
    <w:rsid w:val="003C4B51"/>
    <w:rsid w:val="00B004F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B99D"/>
  <w15:docId w15:val="{F9614C7E-0A66-417C-9BCC-4108DD962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Yadnyeshwar Bagrao</cp:lastModifiedBy>
  <cp:revision>2</cp:revision>
  <dcterms:created xsi:type="dcterms:W3CDTF">2026-01-04T04:08:00Z</dcterms:created>
  <dcterms:modified xsi:type="dcterms:W3CDTF">2026-01-04T04:08:00Z</dcterms:modified>
</cp:coreProperties>
</file>