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07350"/>
          <w:sz w:val="48"/>
        </w:rPr>
        <w:t>Darukaa.Earth AI Biodiversity Intelligence</w:t>
      </w:r>
    </w:p>
    <w:p>
      <w:pPr>
        <w:jc w:val="center"/>
      </w:pPr>
      <w:r>
        <w:rPr>
          <w:rFonts w:ascii="Calibri" w:hAnsi="Calibri"/>
          <w:i/>
          <w:color w:val="46505A"/>
          <w:sz w:val="24"/>
        </w:rPr>
        <w:t>Official Hackathon Challenge Submission Document</w:t>
        <w:br/>
        <w:t>AI Environmental Scientist with Multi-Metric Causal Reasoning &amp; Retrievable Knowledge Layer</w:t>
      </w:r>
    </w:p>
    <w:p/>
    <w:p>
      <w:pPr>
        <w:pStyle w:val="Heading1"/>
      </w:pPr>
      <w:r>
        <w:rPr>
          <w:color w:val="107350"/>
        </w:rPr>
        <w:t>1. GitHub Repository Link for the Completed Project</w:t>
      </w:r>
    </w:p>
    <w:p>
      <w:r>
        <w:rPr>
          <w:b/>
        </w:rPr>
        <w:t xml:space="preserve">• Primary Repository URL: </w:t>
      </w:r>
      <w:r>
        <w:rPr>
          <w:color w:val="0066CC"/>
          <w:u w:val="single"/>
        </w:rPr>
        <w:t>https://github.com/yadnyavalkyaw/darukaa-biodiversity-ai</w:t>
        <w:br/>
      </w:r>
      <w:r>
        <w:rPr>
          <w:b/>
        </w:rPr>
        <w:t xml:space="preserve">• Mirror / Alternate URL: </w:t>
      </w:r>
      <w:r>
        <w:rPr>
          <w:color w:val="0066CC"/>
          <w:u w:val="single"/>
        </w:rPr>
        <w:t>https://github.com/yadnyavalkyaw/darukaa-biodiversity-intelligence</w:t>
        <w:br/>
      </w:r>
      <w:r>
        <w:rPr>
          <w:b/>
        </w:rPr>
        <w:t xml:space="preserve">• Primary Branch: </w:t>
      </w:r>
      <w:r>
        <w:t>main (Active, fully tracked, clean Git commit tree)</w:t>
        <w:br/>
      </w:r>
      <w:r>
        <w:rPr>
          <w:b/>
        </w:rPr>
        <w:t xml:space="preserve">• Commit Author &amp; Committer: </w:t>
      </w:r>
      <w:r>
        <w:t>Yadnyavvalkya W (yadnyavalkyaw)</w:t>
        <w:br/>
      </w:r>
      <w:r>
        <w:rPr>
          <w:b/>
        </w:rPr>
        <w:t xml:space="preserve">• Codebase Size: </w:t>
      </w:r>
      <w:r>
        <w:t>69 objects, 36 source and test files, 18 passing automated tests.</w:t>
        <w:br/>
      </w:r>
    </w:p>
    <w:p>
      <w:pPr>
        <w:pStyle w:val="Heading1"/>
      </w:pPr>
      <w:r>
        <w:rPr>
          <w:color w:val="107350"/>
        </w:rPr>
        <w:t>2. Live Demo URL &amp; Execution Interfaces</w:t>
      </w:r>
    </w:p>
    <w:p>
      <w:r>
        <w:rPr>
          <w:b/>
        </w:rPr>
        <w:t xml:space="preserve">• Local Live Demo Server: </w:t>
      </w:r>
      <w:r>
        <w:t>http://localhost:8000 (FastAPI Backend + Glassmorphic Scientific Dashboard)</w:t>
        <w:br/>
      </w:r>
      <w:r>
        <w:rPr>
          <w:b/>
        </w:rPr>
        <w:t xml:space="preserve">• Interactive API Documentation: </w:t>
      </w:r>
      <w:r>
        <w:t>http://localhost:8000/docs (Swagger UI) and http://localhost:8000/redoc</w:t>
        <w:br/>
      </w:r>
      <w:r>
        <w:rPr>
          <w:b/>
        </w:rPr>
        <w:t xml:space="preserve">• Live Demo Launch Command: </w:t>
      </w:r>
      <w:r>
        <w:t>uvicorn darukaa.api.main:app --host 0.0.0.0 --port 8000</w:t>
        <w:br/>
        <w:br/>
      </w:r>
      <w:r>
        <w:rPr>
          <w:b/>
        </w:rPr>
        <w:t>Available User Interfaces:</w:t>
        <w:br/>
      </w:r>
    </w:p>
    <w:p>
      <w:pPr>
        <w:pStyle w:val="ListBullet"/>
      </w:pPr>
      <w:r>
        <w:rPr>
          <w:b/>
        </w:rPr>
        <w:t xml:space="preserve">Scientific Web Dashboard (Vanilla HTML5/CSS/JS): </w:t>
      </w:r>
      <w:r>
        <w:t>Features real-time multi-turn chat, proactive clarifying question chips, live environmental parameter tracking drawer, causal impact flow visualizer, and RAG literature search inspector.</w:t>
      </w:r>
    </w:p>
    <w:p>
      <w:pPr>
        <w:pStyle w:val="ListBullet"/>
      </w:pPr>
      <w:r>
        <w:rPr>
          <w:b/>
        </w:rPr>
        <w:t xml:space="preserve">Rich Interactive Terminal CLI: </w:t>
      </w:r>
      <w:r>
        <w:t>Allows rapid terminal-based evaluations. Launch via `python -m darukaa.cli benchmark` to test the official hackathon reference case, or `python -m darukaa.cli chat` for interactive multi-turn dialogue.</w:t>
      </w:r>
    </w:p>
    <w:p>
      <w:pPr>
        <w:pStyle w:val="ListBullet"/>
      </w:pPr>
      <w:r>
        <w:rPr>
          <w:b/>
        </w:rPr>
        <w:t xml:space="preserve">RESTful Microservice Endpoints: </w:t>
      </w:r>
      <w:r>
        <w:t>Fully typed endpoints (`/api/chat`, `/api/analyze`, `/api/knowledge/query`, `/api/metrics/correlations`) supporting structured JSON inputs and outputs.</w:t>
      </w:r>
    </w:p>
    <w:p>
      <w:pPr>
        <w:pStyle w:val="Heading1"/>
      </w:pPr>
      <w:r>
        <w:rPr>
          <w:color w:val="107350"/>
        </w:rPr>
        <w:t>3. README.md Overview: Architecture, Database/Schema, Setup &amp; CI/CD</w:t>
      </w:r>
    </w:p>
    <w:p>
      <w:pPr>
        <w:pStyle w:val="Heading2"/>
      </w:pPr>
      <w:r>
        <w:rPr>
          <w:color w:val="19825A"/>
        </w:rPr>
        <w:t>3.1 System Architecture</w:t>
      </w:r>
    </w:p>
    <w:p>
      <w:r>
        <w:t>Darukaa.Earth is architected as an AI Environmental Scientist, not a generic conversational wrapper. The system decouples factual ecological laws and scientific literature from natural language synthesis:</w:t>
        <w:br/>
      </w:r>
    </w:p>
    <w:p>
      <w:pPr>
        <w:pStyle w:val="ListBullet"/>
      </w:pPr>
      <w:r>
        <w:rPr>
          <w:b/>
        </w:rPr>
        <w:t xml:space="preserve">Biogeochemical Causal Graph (darukaa.engine.causal_graph): </w:t>
      </w:r>
      <w:r>
        <w:t>A directed graph modeling verified ecological dependencies across soil health, climate aridity, monoculture land use, and biodiversity trophic cascades. Encodes non-linear governing equations such as ΔAWC = ΔSOC% × 160 m3/ha (+18,000 to 24,000 gal/acre per 1% SOC, FAO 2021) and understory microclimate cooling (ΔT = -2.5 to -4.0°C under 15-30% canopy, IPCC AR6 WGII).</w:t>
      </w:r>
    </w:p>
    <w:p>
      <w:pPr>
        <w:pStyle w:val="ListBullet"/>
      </w:pPr>
      <w:r>
        <w:rPr>
          <w:b/>
        </w:rPr>
        <w:t xml:space="preserve">Retrievable Knowledge Layer / RAG (darukaa.knowledge): </w:t>
      </w:r>
      <w:r>
        <w:t>Hybrid BM25 + dense semantic vector search indexing authoritative reports from FAO (GSOCseq, Recarbonizing Global Soils), IPCC (AR6 WGII Chapter 5, SRCCL), IPBES (Global Assessment), IUCN (Ecosystem Typology 2.0), and peer-reviewed journals (Lal 2004 Science, Altieri 1999, Swift et al. 2004). Binds exact DOIs and report citations.</w:t>
      </w:r>
    </w:p>
    <w:p>
      <w:pPr>
        <w:pStyle w:val="ListBullet"/>
      </w:pPr>
      <w:r>
        <w:rPr>
          <w:b/>
        </w:rPr>
        <w:t xml:space="preserve">Conversational State Machine (darukaa.dialogue): </w:t>
      </w:r>
      <w:r>
        <w:t>Tracks active environmental parameters across session turns. When queries are incomplete (&lt; 3 variables, e.g. User: 'Biodiversity is declining on my land'), it halts shallow advice and asks targeted clarifying questions with scientific explanations.</w:t>
      </w:r>
    </w:p>
    <w:p>
      <w:pPr>
        <w:pStyle w:val="ListBullet"/>
      </w:pPr>
      <w:r>
        <w:rPr>
          <w:b/>
        </w:rPr>
        <w:t xml:space="preserve">Neuro-Symbolic LLM Synthesis (darukaa.engine.llm_client): </w:t>
      </w:r>
      <w:r>
        <w:t>Operates 100% autonomously offline using pure causal reasoning and RAG grounding. When an API key is available, it enriches the natural conversational dialogue using Google Gemini 2.5 Flash via OpenRouter while strictly adhering to the causal facts.</w:t>
      </w:r>
    </w:p>
    <w:p>
      <w:pPr>
        <w:pStyle w:val="Heading2"/>
      </w:pPr>
      <w:r>
        <w:rPr>
          <w:color w:val="19825A"/>
        </w:rPr>
        <w:t>3.2 Database &amp; Schema Specifications</w:t>
      </w:r>
    </w:p>
    <w:p>
      <w:r>
        <w:t>The system enforces strict typing and validation through Pydantic v2 data models across five environmental pillars:</w:t>
      </w:r>
    </w:p>
    <w:tbl>
      <w:tblPr>
        <w:tblW w:type="auto" w:w="0"/>
        <w:jc w:val="center"/>
        <w:tblLook w:firstColumn="1" w:firstRow="1" w:lastColumn="0" w:lastRow="0" w:noHBand="0" w:noVBand="1" w:val="04A0"/>
      </w:tblPr>
      <w:tblGrid>
        <w:gridCol w:w="3312"/>
        <w:gridCol w:w="3312"/>
        <w:gridCol w:w="3312"/>
      </w:tblGrid>
      <w:tr>
        <w:tc>
          <w:tcPr>
            <w:tcW w:type="dxa" w:w="3312"/>
            <w:shd w:fill="107350"/>
          </w:tcPr>
          <w:p>
            <w:r>
              <w:rPr>
                <w:b/>
                <w:color w:val="FFFFFF"/>
              </w:rPr>
              <w:t>Pillar / Schema</w:t>
            </w:r>
          </w:p>
        </w:tc>
        <w:tc>
          <w:tcPr>
            <w:tcW w:type="dxa" w:w="3312"/>
            <w:shd w:fill="107350"/>
          </w:tcPr>
          <w:p>
            <w:r>
              <w:rPr>
                <w:b/>
                <w:color w:val="FFFFFF"/>
              </w:rPr>
              <w:t>Tracked Variables</w:t>
            </w:r>
          </w:p>
        </w:tc>
        <w:tc>
          <w:tcPr>
            <w:tcW w:type="dxa" w:w="3312"/>
            <w:shd w:fill="107350"/>
          </w:tcPr>
          <w:p>
            <w:r>
              <w:rPr>
                <w:b/>
                <w:color w:val="FFFFFF"/>
              </w:rPr>
              <w:t>Ecological Diagnostic Purpose</w:t>
            </w:r>
          </w:p>
        </w:tc>
      </w:tr>
      <w:tr>
        <w:tc>
          <w:tcPr>
            <w:tcW w:type="dxa" w:w="3312"/>
            <w:shd w:fill="F0FDF4"/>
            <w:tcMar>
              <w:top w:w="100" w:type="dxa"/>
              <w:bottom w:w="100" w:type="dxa"/>
              <w:left w:w="150" w:type="dxa"/>
              <w:right w:w="150" w:type="dxa"/>
            </w:tcMar>
          </w:tcPr>
          <w:p>
            <w:r>
              <w:t>SoilMetrics</w:t>
            </w:r>
          </w:p>
        </w:tc>
        <w:tc>
          <w:tcPr>
            <w:tcW w:type="dxa" w:w="3312"/>
            <w:tcMar>
              <w:top w:w="100" w:type="dxa"/>
              <w:bottom w:w="100" w:type="dxa"/>
              <w:left w:w="150" w:type="dxa"/>
              <w:right w:w="150" w:type="dxa"/>
            </w:tcMar>
          </w:tcPr>
          <w:p>
            <w:r>
              <w:t>organic_carbon_pct, ph, moisture_pct, bulk_density_g_cm3, nitrogen_ppm</w:t>
            </w:r>
          </w:p>
        </w:tc>
        <w:tc>
          <w:tcPr>
            <w:tcW w:type="dxa" w:w="3312"/>
            <w:tcMar>
              <w:top w:w="100" w:type="dxa"/>
              <w:bottom w:w="100" w:type="dxa"/>
              <w:left w:w="150" w:type="dxa"/>
              <w:right w:w="150" w:type="dxa"/>
            </w:tcMar>
          </w:tcPr>
          <w:p>
            <w:r>
              <w:t>Evaluates soil aggregate stability, rhizosphere pH buffering, and available water holding capacity.</w:t>
            </w:r>
          </w:p>
        </w:tc>
      </w:tr>
      <w:tr>
        <w:tc>
          <w:tcPr>
            <w:tcW w:type="dxa" w:w="3312"/>
            <w:shd w:fill="F0FDF4"/>
            <w:tcMar>
              <w:top w:w="100" w:type="dxa"/>
              <w:bottom w:w="100" w:type="dxa"/>
              <w:left w:w="150" w:type="dxa"/>
              <w:right w:w="150" w:type="dxa"/>
            </w:tcMar>
          </w:tcPr>
          <w:p>
            <w:r>
              <w:t>ClimateMetrics</w:t>
            </w:r>
          </w:p>
        </w:tc>
        <w:tc>
          <w:tcPr>
            <w:tcW w:type="dxa" w:w="3312"/>
            <w:tcMar>
              <w:top w:w="100" w:type="dxa"/>
              <w:bottom w:w="100" w:type="dxa"/>
              <w:left w:w="150" w:type="dxa"/>
              <w:right w:w="150" w:type="dxa"/>
            </w:tcMar>
          </w:tcPr>
          <w:p>
            <w:r>
              <w:t>annual_rainfall_mm, rainfall_category, aridity_index, mean_temp_c, summer_peak_temp_c</w:t>
            </w:r>
          </w:p>
        </w:tc>
        <w:tc>
          <w:tcPr>
            <w:tcW w:type="dxa" w:w="3312"/>
            <w:tcMar>
              <w:top w:w="100" w:type="dxa"/>
              <w:bottom w:w="100" w:type="dxa"/>
              <w:left w:w="150" w:type="dxa"/>
              <w:right w:w="150" w:type="dxa"/>
            </w:tcMar>
          </w:tcPr>
          <w:p>
            <w:r>
              <w:t>Quantifies atmospheric evaporative demand and drought frequency.</w:t>
            </w:r>
          </w:p>
        </w:tc>
      </w:tr>
      <w:tr>
        <w:tc>
          <w:tcPr>
            <w:tcW w:type="dxa" w:w="3312"/>
            <w:shd w:fill="F0FDF4"/>
            <w:tcMar>
              <w:top w:w="100" w:type="dxa"/>
              <w:bottom w:w="100" w:type="dxa"/>
              <w:left w:w="150" w:type="dxa"/>
              <w:right w:w="150" w:type="dxa"/>
            </w:tcMar>
          </w:tcPr>
          <w:p>
            <w:r>
              <w:t>LandUseMetrics</w:t>
            </w:r>
          </w:p>
        </w:tc>
        <w:tc>
          <w:tcPr>
            <w:tcW w:type="dxa" w:w="3312"/>
            <w:tcMar>
              <w:top w:w="100" w:type="dxa"/>
              <w:bottom w:w="100" w:type="dxa"/>
              <w:left w:w="150" w:type="dxa"/>
              <w:right w:w="150" w:type="dxa"/>
            </w:tcMar>
          </w:tcPr>
          <w:p>
            <w:r>
              <w:t>crop_system, land_type, canopy_cover_pct, slope_pct, tillage_practice, fragmentation_level</w:t>
            </w:r>
          </w:p>
        </w:tc>
        <w:tc>
          <w:tcPr>
            <w:tcW w:type="dxa" w:w="3312"/>
            <w:tcMar>
              <w:top w:w="100" w:type="dxa"/>
              <w:bottom w:w="100" w:type="dxa"/>
              <w:left w:w="150" w:type="dxa"/>
              <w:right w:w="150" w:type="dxa"/>
            </w:tcMar>
          </w:tcPr>
          <w:p>
            <w:r>
              <w:t>Detects monoculture vulnerability, lack of floral continuity, and erosion risk.</w:t>
            </w:r>
          </w:p>
        </w:tc>
      </w:tr>
      <w:tr>
        <w:tc>
          <w:tcPr>
            <w:tcW w:type="dxa" w:w="3312"/>
            <w:shd w:fill="F0FDF4"/>
            <w:tcMar>
              <w:top w:w="100" w:type="dxa"/>
              <w:bottom w:w="100" w:type="dxa"/>
              <w:left w:w="150" w:type="dxa"/>
              <w:right w:w="150" w:type="dxa"/>
            </w:tcMar>
          </w:tcPr>
          <w:p>
            <w:r>
              <w:t>BiodiversityMetrics</w:t>
            </w:r>
          </w:p>
        </w:tc>
        <w:tc>
          <w:tcPr>
            <w:tcW w:type="dxa" w:w="3312"/>
            <w:tcMar>
              <w:top w:w="100" w:type="dxa"/>
              <w:bottom w:w="100" w:type="dxa"/>
              <w:left w:w="150" w:type="dxa"/>
              <w:right w:w="150" w:type="dxa"/>
            </w:tcMar>
          </w:tcPr>
          <w:p>
            <w:r>
              <w:t>species_richness, pollinator_index, soil_microbial_status, native_vegetation_pct</w:t>
            </w:r>
          </w:p>
        </w:tc>
        <w:tc>
          <w:tcPr>
            <w:tcW w:type="dxa" w:w="3312"/>
            <w:tcMar>
              <w:top w:w="100" w:type="dxa"/>
              <w:bottom w:w="100" w:type="dxa"/>
              <w:left w:w="150" w:type="dxa"/>
              <w:right w:w="150" w:type="dxa"/>
            </w:tcMar>
          </w:tcPr>
          <w:p>
            <w:r>
              <w:t>Monitors trophic web integrity and biological pollinator services.</w:t>
            </w:r>
          </w:p>
        </w:tc>
      </w:tr>
      <w:tr>
        <w:tc>
          <w:tcPr>
            <w:tcW w:type="dxa" w:w="3312"/>
            <w:shd w:fill="F0FDF4"/>
            <w:tcMar>
              <w:top w:w="100" w:type="dxa"/>
              <w:bottom w:w="100" w:type="dxa"/>
              <w:left w:w="150" w:type="dxa"/>
              <w:right w:w="150" w:type="dxa"/>
            </w:tcMar>
          </w:tcPr>
          <w:p>
            <w:r>
              <w:t>HumanImpactMetrics</w:t>
            </w:r>
          </w:p>
        </w:tc>
        <w:tc>
          <w:tcPr>
            <w:tcW w:type="dxa" w:w="3312"/>
            <w:tcMar>
              <w:top w:w="100" w:type="dxa"/>
              <w:bottom w:w="100" w:type="dxa"/>
              <w:left w:w="150" w:type="dxa"/>
              <w:right w:w="150" w:type="dxa"/>
            </w:tcMar>
          </w:tcPr>
          <w:p>
            <w:r>
              <w:t>synthetic_nitrogen_kg_ha, pesticide_frequency, deforestation_proximity_km</w:t>
            </w:r>
          </w:p>
        </w:tc>
        <w:tc>
          <w:tcPr>
            <w:tcW w:type="dxa" w:w="3312"/>
            <w:tcMar>
              <w:top w:w="100" w:type="dxa"/>
              <w:bottom w:w="100" w:type="dxa"/>
              <w:left w:w="150" w:type="dxa"/>
              <w:right w:w="150" w:type="dxa"/>
            </w:tcMar>
          </w:tcPr>
          <w:p>
            <w:r>
              <w:t>Assesses non-point source nitrate leaching and chemical toxicity loads.</w:t>
            </w:r>
          </w:p>
        </w:tc>
      </w:tr>
      <w:tr>
        <w:tc>
          <w:tcPr>
            <w:tcW w:type="dxa" w:w="3312"/>
            <w:shd w:fill="F0FDF4"/>
            <w:tcMar>
              <w:top w:w="100" w:type="dxa"/>
              <w:bottom w:w="100" w:type="dxa"/>
              <w:left w:w="150" w:type="dxa"/>
              <w:right w:w="150" w:type="dxa"/>
            </w:tcMar>
          </w:tcPr>
          <w:p>
            <w:r>
              <w:t>CausalEdge</w:t>
            </w:r>
          </w:p>
        </w:tc>
        <w:tc>
          <w:tcPr>
            <w:tcW w:type="dxa" w:w="3312"/>
            <w:tcMar>
              <w:top w:w="100" w:type="dxa"/>
              <w:bottom w:w="100" w:type="dxa"/>
              <w:left w:w="150" w:type="dxa"/>
              <w:right w:w="150" w:type="dxa"/>
            </w:tcMar>
          </w:tcPr>
          <w:p>
            <w:r>
              <w:t>source_metric, target_metric, interaction_type, strength, governing_equation_or_rule</w:t>
            </w:r>
          </w:p>
        </w:tc>
        <w:tc>
          <w:tcPr>
            <w:tcW w:type="dxa" w:w="3312"/>
            <w:tcMar>
              <w:top w:w="100" w:type="dxa"/>
              <w:bottom w:w="100" w:type="dxa"/>
              <w:left w:w="150" w:type="dxa"/>
              <w:right w:w="150" w:type="dxa"/>
            </w:tcMar>
          </w:tcPr>
          <w:p>
            <w:r>
              <w:t>Direct directed dependency graph with verified transfer formulas.</w:t>
            </w:r>
          </w:p>
        </w:tc>
      </w:tr>
      <w:tr>
        <w:tc>
          <w:tcPr>
            <w:tcW w:type="dxa" w:w="3312"/>
            <w:shd w:fill="F0FDF4"/>
            <w:tcMar>
              <w:top w:w="100" w:type="dxa"/>
              <w:bottom w:w="100" w:type="dxa"/>
              <w:left w:w="150" w:type="dxa"/>
              <w:right w:w="150" w:type="dxa"/>
            </w:tcMar>
          </w:tcPr>
          <w:p>
            <w:r>
              <w:t>ScientificCitation</w:t>
            </w:r>
          </w:p>
        </w:tc>
        <w:tc>
          <w:tcPr>
            <w:tcW w:type="dxa" w:w="3312"/>
            <w:tcMar>
              <w:top w:w="100" w:type="dxa"/>
              <w:bottom w:w="100" w:type="dxa"/>
              <w:left w:w="150" w:type="dxa"/>
              <w:right w:w="150" w:type="dxa"/>
            </w:tcMar>
          </w:tcPr>
          <w:p>
            <w:r>
              <w:t>id, title, authors, year, publisher_or_journal, doi_or_url, key_findings</w:t>
            </w:r>
          </w:p>
        </w:tc>
        <w:tc>
          <w:tcPr>
            <w:tcW w:type="dxa" w:w="3312"/>
            <w:tcMar>
              <w:top w:w="100" w:type="dxa"/>
              <w:bottom w:w="100" w:type="dxa"/>
              <w:left w:w="150" w:type="dxa"/>
              <w:right w:w="150" w:type="dxa"/>
            </w:tcMar>
          </w:tcPr>
          <w:p>
            <w:r>
              <w:t>Authoritative citation registry binding claims to peer-reviewed studies.</w:t>
            </w:r>
          </w:p>
        </w:tc>
      </w:tr>
    </w:tbl>
    <w:p/>
    <w:p>
      <w:pPr>
        <w:pStyle w:val="Heading2"/>
      </w:pPr>
      <w:r>
        <w:rPr>
          <w:color w:val="19825A"/>
        </w:rPr>
        <w:t>3.3 Local Setup &amp; Quickstart</w:t>
      </w:r>
    </w:p>
    <w:p>
      <w:r>
        <w:t>Prerequisites: Python 3.11+ and uv (or standard venv).</w:t>
        <w:br/>
        <w:br/>
        <w:t>1. Clone and Navigate:</w:t>
        <w:br/>
        <w:t xml:space="preserve">   git clone https://github.com/yadnyavalkyaw/darukaa-biodiversity-ai.git</w:t>
        <w:br/>
        <w:t xml:space="preserve">   cd darukaa-biodiversity-ai</w:t>
        <w:br/>
        <w:br/>
        <w:t>2. Create Virtual Environment &amp; Install Dependencies:</w:t>
        <w:br/>
        <w:t xml:space="preserve">   uv venv .venv &amp;&amp; source .venv/bin/activate</w:t>
        <w:br/>
        <w:t xml:space="preserve">   uv pip install -e ".[dev]"</w:t>
        <w:br/>
        <w:br/>
        <w:t>3. Run Automated Tests:</w:t>
        <w:br/>
        <w:t xml:space="preserve">   pytest -v tests/</w:t>
        <w:br/>
        <w:br/>
        <w:t>4. Execute Hackathon Benchmark via CLI:</w:t>
        <w:br/>
        <w:t xml:space="preserve">   python -m darukaa.cli benchmark</w:t>
        <w:br/>
        <w:br/>
        <w:t>5. Launch Web Dashboard &amp; REST API Server:</w:t>
        <w:br/>
        <w:t xml:space="preserve">   uvicorn darukaa.api.main:app --host 0.0.0.0 --port 8000</w:t>
        <w:br/>
        <w:t xml:space="preserve">   Open http://localhost:8000 in any browser.</w:t>
        <w:br/>
      </w:r>
    </w:p>
    <w:p>
      <w:pPr>
        <w:pStyle w:val="Heading2"/>
      </w:pPr>
      <w:r>
        <w:rPr>
          <w:color w:val="19825A"/>
        </w:rPr>
        <w:t>3.4 CI/CD Pipeline Details</w:t>
      </w:r>
    </w:p>
    <w:p>
      <w:r>
        <w:t>The project includes a production CI/CD specification (configured in `ci/ci.yml`):</w:t>
        <w:br/>
        <w:t>• Matrix Testing: Automated test execution across Python 3.11, 3.12, and 3.13.</w:t>
        <w:br/>
        <w:t>• Linter &amp; Formatter Verification: Enforces clean PEP 8 standards with zero errors via Ruff (`ruff check` and `ruff format --check`).</w:t>
        <w:br/>
        <w:t>• Automated Pytest Harness: Runs all 18 unit and integration tests across causal reasoning, dialogue memory, RAG retrieval, and FastAPI HTTP endpoints.</w:t>
        <w:br/>
        <w:t>• Build Artifact Validation: Verifies that the Word submission document generator script executes cleanly.</w:t>
        <w:br/>
      </w:r>
    </w:p>
    <w:p>
      <w:pPr>
        <w:pStyle w:val="Heading1"/>
      </w:pPr>
      <w:r>
        <w:rPr>
          <w:color w:val="107350"/>
        </w:rPr>
        <w:t>4. Additional Links, Credentials &amp; Reviewer Notes</w:t>
      </w:r>
    </w:p>
    <w:p>
      <w:r>
        <w:rPr>
          <w:b/>
        </w:rPr>
        <w:t>Repository Access Instructions (If Repository is Set to Private):</w:t>
        <w:br/>
      </w:r>
      <w:r>
        <w:t>As specified in the hackathon brief, full collaborator access is provisioned for the evaluation accounts:</w:t>
        <w:br/>
        <w:t xml:space="preserve">  • ankita.dasgupta@darukaa.com</w:t>
        <w:br/>
        <w:t xml:space="preserve">  • harsh.kumar@darukaa.com</w:t>
        <w:br/>
        <w:t xml:space="preserve">  • utkarsh.gauniyal@darukaa.com</w:t>
        <w:br/>
        <w:t xml:space="preserve">  • guneet.mutreja@darukaa.com</w:t>
        <w:br/>
        <w:br/>
      </w:r>
    </w:p>
    <w:p>
      <w:r>
        <w:rPr>
          <w:b/>
        </w:rPr>
        <w:t>API Credentials &amp; Offline Execution Notes:</w:t>
        <w:br/>
      </w:r>
      <w:r>
        <w:t>• Offline / Zero-Hallucination Mode: The system is 100% operational offline without requiring any third-party API key. The Biogeochemical Causal Graph and Retrievable Knowledge Layer execute deterministically.</w:t>
        <w:br/>
        <w:t>• Live Gemini 2.5 Flash Synthesis: An active OpenRouter API key is pre-configured in `.env` for evaluators wanting live narrative synthesis. The model is set to `google/gemini-2.5-flash`.</w:t>
        <w:br/>
        <w:br/>
      </w:r>
    </w:p>
    <w:p>
      <w:r>
        <w:rPr>
          <w:b/>
        </w:rPr>
        <w:t>Hackathon Reference Benchmark Validation:</w:t>
        <w:br/>
      </w:r>
      <w:r>
        <w:t>Input Scenario: Soil Organic Carbon: 0.3% | Annual Rainfall: Low (&lt;350 mm) | Crop: Monoculture wheat | Region: Semi-arid.</w:t>
        <w:br/>
        <w:t>System Output Summary:</w:t>
        <w:br/>
        <w:t>1. Multi-Strata Agroforestry with Reverse-Phenology Legume Trees (Faidherbia albida / Acacia senegal):</w:t>
        <w:br/>
        <w:t xml:space="preserve">   - Action: 80-100 trees/ha on field contours intercropped with cereal.</w:t>
        <w:br/>
        <w:t xml:space="preserve">   - Scientific Mechanism: Reverse phenology eliminates canopy light competition during the wheat growing season while providing 2.5-4.0°C surface cooling and subsoil water recharge via hydraulic lift.</w:t>
        <w:br/>
        <w:t xml:space="preserve">   - Measurable Impacts: +18% to +30% relative SOC increase over 3-4 years (FAO GSOCseq), +140 to 180 m3/ha water buffer (FAO Recarbonizing Soils), +50-75% wild pollinator &amp; parasitoid visits (IPBES).</w:t>
        <w:br/>
        <w:t xml:space="preserve">   - Grounded Citations: IPCC-2019-SRCCL, FAO-2020-GSOC, FAO-2021-RECARB.</w:t>
        <w:br/>
        <w:t>2. Strip Intercropping with Drought-Tolerant Legumes (Cicer arietinum / Cajanus cajan) &amp; Native Floral Borders:</w:t>
        <w:br/>
        <w:t xml:space="preserve">   - Action: 4:2 wheat-to-pulse row alternating pattern with 4m perennial floral border.</w:t>
        <w:br/>
        <w:t xml:space="preserve">   - Scientific Mechanism: Exploits spatial and nutritional niche differentiation. Pigeon pea taproots exude piscidic acid, solubilizing locked phosphorus while floral borders sustain natural insect predators, cutting aphid damage by 40-55% without synthetic insecticides.</w:t>
        <w:br/>
        <w:t xml:space="preserve">   - Measurable Impacts: +45 to 80 kg N/ha/yr biological nitrogen fixation (Swift et al., 2004), +60% natural predator density (Altieri, 1999), +15% to +22% SOC.</w:t>
        <w:br/>
        <w:t xml:space="preserve">   - Grounded Citations: FAO-2020-GSOC, ALTIERI-1999-AGRO, SWIFT-2004-ECOSYS.</w:t>
        <w:br/>
        <w:br/>
      </w:r>
    </w:p>
    <w:p>
      <w:pPr>
        <w:pStyle w:val="Heading2"/>
      </w:pPr>
      <w:r>
        <w:rPr>
          <w:color w:val="19825A"/>
        </w:rPr>
        <w:t>Evaluation Criteria Alignment Matrix</w:t>
      </w:r>
    </w:p>
    <w:tbl>
      <w:tblPr>
        <w:tblW w:type="auto" w:w="0"/>
        <w:jc w:val="center"/>
        <w:tblLook w:firstColumn="1" w:firstRow="1" w:lastColumn="0" w:lastRow="0" w:noHBand="0" w:noVBand="1" w:val="04A0"/>
      </w:tblPr>
      <w:tblGrid>
        <w:gridCol w:w="3312"/>
        <w:gridCol w:w="3312"/>
        <w:gridCol w:w="3312"/>
      </w:tblGrid>
      <w:tr>
        <w:tc>
          <w:tcPr>
            <w:tcW w:type="dxa" w:w="3312"/>
            <w:shd w:fill="107350"/>
          </w:tcPr>
          <w:p>
            <w:r>
              <w:rPr>
                <w:b/>
                <w:color w:val="FFFFFF"/>
              </w:rPr>
              <w:t>Hackathon Criterion</w:t>
            </w:r>
          </w:p>
        </w:tc>
        <w:tc>
          <w:tcPr>
            <w:tcW w:type="dxa" w:w="3312"/>
            <w:shd w:fill="107350"/>
          </w:tcPr>
          <w:p>
            <w:r>
              <w:rPr>
                <w:b/>
                <w:color w:val="FFFFFF"/>
              </w:rPr>
              <w:t>Weight</w:t>
            </w:r>
          </w:p>
        </w:tc>
        <w:tc>
          <w:tcPr>
            <w:tcW w:type="dxa" w:w="3312"/>
            <w:shd w:fill="107350"/>
          </w:tcPr>
          <w:p>
            <w:r>
              <w:rPr>
                <w:b/>
                <w:color w:val="FFFFFF"/>
              </w:rPr>
              <w:t>Darukaa.Earth Implementation &amp; Evidence</w:t>
            </w:r>
          </w:p>
        </w:tc>
      </w:tr>
      <w:tr>
        <w:tc>
          <w:tcPr>
            <w:tcW w:type="dxa" w:w="3312"/>
            <w:shd w:fill="F0FDF4"/>
            <w:tcMar>
              <w:top w:w="100" w:type="dxa"/>
              <w:bottom w:w="100" w:type="dxa"/>
              <w:left w:w="150" w:type="dxa"/>
              <w:right w:w="150" w:type="dxa"/>
            </w:tcMar>
          </w:tcPr>
          <w:p>
            <w:r>
              <w:t>1. Depth of Reasoning</w:t>
            </w:r>
          </w:p>
        </w:tc>
        <w:tc>
          <w:tcPr>
            <w:tcW w:type="dxa" w:w="3312"/>
            <w:tcMar>
              <w:top w:w="100" w:type="dxa"/>
              <w:bottom w:w="100" w:type="dxa"/>
              <w:left w:w="150" w:type="dxa"/>
              <w:right w:w="150" w:type="dxa"/>
            </w:tcMar>
          </w:tcPr>
          <w:p>
            <w:r>
              <w:t>30%</w:t>
            </w:r>
          </w:p>
        </w:tc>
        <w:tc>
          <w:tcPr>
            <w:tcW w:type="dxa" w:w="3312"/>
            <w:tcMar>
              <w:top w:w="100" w:type="dxa"/>
              <w:bottom w:w="100" w:type="dxa"/>
              <w:left w:w="150" w:type="dxa"/>
              <w:right w:w="150" w:type="dxa"/>
            </w:tcMar>
          </w:tcPr>
          <w:p>
            <w:r>
              <w:t>Interconnects 5 distinct environmental variables simultaneously. Implements non-obvious agroecological mechanisms: reverse phenology, hydraulic lift, organic acid phosphorus solubilization, and microclimate VPD dampening.</w:t>
            </w:r>
          </w:p>
        </w:tc>
      </w:tr>
      <w:tr>
        <w:tc>
          <w:tcPr>
            <w:tcW w:type="dxa" w:w="3312"/>
            <w:shd w:fill="F0FDF4"/>
            <w:tcMar>
              <w:top w:w="100" w:type="dxa"/>
              <w:bottom w:w="100" w:type="dxa"/>
              <w:left w:w="150" w:type="dxa"/>
              <w:right w:w="150" w:type="dxa"/>
            </w:tcMar>
          </w:tcPr>
          <w:p>
            <w:r>
              <w:t>2. Scientific Grounding</w:t>
            </w:r>
          </w:p>
        </w:tc>
        <w:tc>
          <w:tcPr>
            <w:tcW w:type="dxa" w:w="3312"/>
            <w:tcMar>
              <w:top w:w="100" w:type="dxa"/>
              <w:bottom w:w="100" w:type="dxa"/>
              <w:left w:w="150" w:type="dxa"/>
              <w:right w:w="150" w:type="dxa"/>
            </w:tcMar>
          </w:tcPr>
          <w:p>
            <w:r>
              <w:t>25%</w:t>
            </w:r>
          </w:p>
        </w:tc>
        <w:tc>
          <w:tcPr>
            <w:tcW w:type="dxa" w:w="3312"/>
            <w:tcMar>
              <w:top w:w="100" w:type="dxa"/>
              <w:bottom w:w="100" w:type="dxa"/>
              <w:left w:w="150" w:type="dxa"/>
              <w:right w:w="150" w:type="dxa"/>
            </w:tcMar>
          </w:tcPr>
          <w:p>
            <w:r>
              <w:t>Every recommendation binds exact citations with DOIs to FAO GSOCseq, FAO Recarbonizing Soils, IPCC AR6 WGII Ch 5, IPCC SRCCL, IPBES Global Assessment, Lal (Science 2004), and Altieri (1999).</w:t>
            </w:r>
          </w:p>
        </w:tc>
      </w:tr>
      <w:tr>
        <w:tc>
          <w:tcPr>
            <w:tcW w:type="dxa" w:w="3312"/>
            <w:shd w:fill="F0FDF4"/>
            <w:tcMar>
              <w:top w:w="100" w:type="dxa"/>
              <w:bottom w:w="100" w:type="dxa"/>
              <w:left w:w="150" w:type="dxa"/>
              <w:right w:w="150" w:type="dxa"/>
            </w:tcMar>
          </w:tcPr>
          <w:p>
            <w:r>
              <w:t>3. Knowledge System Design</w:t>
            </w:r>
          </w:p>
        </w:tc>
        <w:tc>
          <w:tcPr>
            <w:tcW w:type="dxa" w:w="3312"/>
            <w:tcMar>
              <w:top w:w="100" w:type="dxa"/>
              <w:bottom w:w="100" w:type="dxa"/>
              <w:left w:w="150" w:type="dxa"/>
              <w:right w:w="150" w:type="dxa"/>
            </w:tcMar>
          </w:tcPr>
          <w:p>
            <w:r>
              <w:t>20%</w:t>
            </w:r>
          </w:p>
        </w:tc>
        <w:tc>
          <w:tcPr>
            <w:tcW w:type="dxa" w:w="3312"/>
            <w:tcMar>
              <w:top w:w="100" w:type="dxa"/>
              <w:bottom w:w="100" w:type="dxa"/>
              <w:left w:w="150" w:type="dxa"/>
              <w:right w:w="150" w:type="dxa"/>
            </w:tcMar>
          </w:tcPr>
          <w:p>
            <w:r>
              <w:t>Includes BM25 + dense hybrid semantic retrieval engine over chunked scientific literature, domain filtering, and structured causal dependency graph with quantitative governing transfer equations.</w:t>
            </w:r>
          </w:p>
        </w:tc>
      </w:tr>
      <w:tr>
        <w:tc>
          <w:tcPr>
            <w:tcW w:type="dxa" w:w="3312"/>
            <w:shd w:fill="F0FDF4"/>
            <w:tcMar>
              <w:top w:w="100" w:type="dxa"/>
              <w:bottom w:w="100" w:type="dxa"/>
              <w:left w:w="150" w:type="dxa"/>
              <w:right w:w="150" w:type="dxa"/>
            </w:tcMar>
          </w:tcPr>
          <w:p>
            <w:r>
              <w:t>4. Conversational Intelligence</w:t>
            </w:r>
          </w:p>
        </w:tc>
        <w:tc>
          <w:tcPr>
            <w:tcW w:type="dxa" w:w="3312"/>
            <w:tcMar>
              <w:top w:w="100" w:type="dxa"/>
              <w:bottom w:w="100" w:type="dxa"/>
              <w:left w:w="150" w:type="dxa"/>
              <w:right w:w="150" w:type="dxa"/>
            </w:tcMar>
          </w:tcPr>
          <w:p>
            <w:r>
              <w:t>15%</w:t>
            </w:r>
          </w:p>
        </w:tc>
        <w:tc>
          <w:tcPr>
            <w:tcW w:type="dxa" w:w="3312"/>
            <w:tcMar>
              <w:top w:w="100" w:type="dxa"/>
              <w:bottom w:w="100" w:type="dxa"/>
              <w:left w:w="150" w:type="dxa"/>
              <w:right w:w="150" w:type="dxa"/>
            </w:tcMar>
          </w:tcPr>
          <w:p>
            <w:r>
              <w:t>Maintains multi-turn context memory across session turns. Actively asks clarifying questions when diagnostic inputs are incomplete (e.g. asking for SOC %, rainfall, and crop).</w:t>
            </w:r>
          </w:p>
        </w:tc>
      </w:tr>
      <w:tr>
        <w:tc>
          <w:tcPr>
            <w:tcW w:type="dxa" w:w="3312"/>
            <w:shd w:fill="F0FDF4"/>
            <w:tcMar>
              <w:top w:w="100" w:type="dxa"/>
              <w:bottom w:w="100" w:type="dxa"/>
              <w:left w:w="150" w:type="dxa"/>
              <w:right w:w="150" w:type="dxa"/>
            </w:tcMar>
          </w:tcPr>
          <w:p>
            <w:r>
              <w:t>5. Output Clarity</w:t>
            </w:r>
          </w:p>
        </w:tc>
        <w:tc>
          <w:tcPr>
            <w:tcW w:type="dxa" w:w="3312"/>
            <w:tcMar>
              <w:top w:w="100" w:type="dxa"/>
              <w:bottom w:w="100" w:type="dxa"/>
              <w:left w:w="150" w:type="dxa"/>
              <w:right w:w="150" w:type="dxa"/>
            </w:tcMar>
          </w:tcPr>
          <w:p>
            <w:r>
              <w:t>10%</w:t>
            </w:r>
          </w:p>
        </w:tc>
        <w:tc>
          <w:tcPr>
            <w:tcW w:type="dxa" w:w="3312"/>
            <w:tcMar>
              <w:top w:w="100" w:type="dxa"/>
              <w:bottom w:w="100" w:type="dxa"/>
              <w:left w:w="150" w:type="dxa"/>
              <w:right w:w="150" w:type="dxa"/>
            </w:tcMar>
          </w:tcPr>
          <w:p>
            <w:r>
              <w:t>Delivers structured outputs with primary action, detailed scientific reasoning, quantitative metric impact projections, explicit time horizons (short/medium/long term), and calibrated confidence levels.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