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B4332"/>
          <w:sz w:val="40"/>
        </w:rPr>
        <w:t>Darukaa.Earth — AI Biodiversity Intelligence</w:t>
      </w:r>
    </w:p>
    <w:p>
      <w:pPr>
        <w:spacing w:after="200"/>
      </w:pPr>
      <w:r>
        <w:rPr>
          <w:rFonts w:ascii="Calibri" w:hAnsi="Calibri"/>
          <w:color w:val="64748B"/>
          <w:sz w:val="22"/>
        </w:rPr>
        <w:t>Technical Challenge Submission • System Design, Causal Reasoning &amp; Knowledge Grounding</w:t>
      </w:r>
    </w:p>
    <w:p>
      <w:pPr>
        <w:spacing w:after="20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1B4332"/>
          <w:sz w:val="26"/>
        </w:rPr>
        <w:t>1. GitHub Repository Link</w:t>
      </w:r>
    </w:p>
    <w:p>
      <w:pPr>
        <w:spacing w:after="80" w:line="276" w:lineRule="auto"/>
      </w:pPr>
      <w:r>
        <w:rPr>
          <w:b/>
          <w:sz w:val="22"/>
        </w:rPr>
        <w:t xml:space="preserve">Repository URL: </w:t>
      </w:r>
      <w:r>
        <w:rPr>
          <w:b/>
          <w:color w:val="0E7490"/>
          <w:sz w:val="22"/>
          <w:u w:val="single"/>
        </w:rPr>
        <w:t>https://github.com/yadnyavalkyaw/darukaa-biodiversity-ai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Branch &amp; Status: </w:t>
      </w:r>
      <w:r>
        <w:rPr>
          <w:rFonts w:ascii="Calibri" w:hAnsi="Calibri"/>
          <w:color w:val="334155"/>
          <w:sz w:val="21"/>
        </w:rPr>
        <w:t>`main` branch — Clean tree, single-author commit history (`yadnyavalkyaw`).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Verification Gate: </w:t>
      </w:r>
      <w:r>
        <w:rPr>
          <w:rFonts w:ascii="Calibri" w:hAnsi="Calibri"/>
          <w:color w:val="334155"/>
          <w:sz w:val="21"/>
        </w:rPr>
        <w:t>100% test pass rate (18/18 tests in 0.30s via Pytest), 0 linter errors via Ruff.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Visibility: </w:t>
      </w:r>
      <w:r>
        <w:rPr>
          <w:rFonts w:ascii="Calibri" w:hAnsi="Calibri"/>
          <w:color w:val="334155"/>
          <w:sz w:val="21"/>
        </w:rPr>
        <w:t>Public repository — Immediate access for cloning, automated inspection, and CI/CD verification.</w:t>
      </w:r>
    </w:p>
    <w:p>
      <w:pPr>
        <w:spacing w:after="80"/>
      </w:pPr>
    </w:p>
    <w:p>
      <w:pPr>
        <w:pStyle w:val="Heading1"/>
        <w:spacing w:before="120" w:after="60"/>
      </w:pPr>
      <w:r>
        <w:rPr>
          <w:rFonts w:ascii="Calibri" w:hAnsi="Calibri"/>
          <w:b/>
          <w:color w:val="1B4332"/>
          <w:sz w:val="26"/>
        </w:rPr>
        <w:t>2. Live Demo URL &amp; Execution Interfaces</w:t>
      </w:r>
    </w:p>
    <w:p>
      <w:pPr>
        <w:spacing w:after="80" w:line="276" w:lineRule="auto"/>
      </w:pPr>
      <w:r>
        <w:rPr>
          <w:b/>
          <w:sz w:val="22"/>
        </w:rPr>
        <w:t xml:space="preserve">Live Cloud Demo: </w:t>
      </w:r>
      <w:r>
        <w:rPr>
          <w:b/>
          <w:color w:val="0E7490"/>
          <w:sz w:val="22"/>
          <w:u w:val="single"/>
        </w:rPr>
        <w:t>https://yadnyavalkyaw.github.io/darukaa-biodiversity-ai/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Hosted Web Interface: </w:t>
      </w:r>
      <w:r>
        <w:rPr>
          <w:rFonts w:ascii="Calibri" w:hAnsi="Calibri"/>
          <w:color w:val="334155"/>
          <w:sz w:val="21"/>
        </w:rPr>
        <w:t>Instant browser-based execution hosted live on GitHub Pages. Evaluators can directly test conversational dialogue, active parameter extraction, benchmark cases, interactive literature search, and causal graph pathways with zero local installation.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Dual-Engine Architecture: </w:t>
      </w:r>
      <w:r>
        <w:rPr>
          <w:rFonts w:ascii="Calibri" w:hAnsi="Calibri"/>
          <w:color w:val="334155"/>
          <w:sz w:val="21"/>
        </w:rPr>
        <w:t>The web application runs a client-side biogeochemical reasoning engine for instant deterministic evaluation, while offering an optional in-browser setting for live OpenRouter LLM synthesis (Gemini 2.5 Flash).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Terminal Benchmark Mode: </w:t>
      </w:r>
      <w:r>
        <w:rPr>
          <w:rFonts w:ascii="Calibri" w:hAnsi="Calibri"/>
          <w:color w:val="334155"/>
          <w:sz w:val="21"/>
        </w:rPr>
        <w:t>Evaluators can execute the official hackathon benchmark case locally in seconds via CLI: `python -m darukaa.cli benchmark`.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Local Server &amp; API Documentation: </w:t>
      </w:r>
      <w:r>
        <w:rPr>
          <w:rFonts w:ascii="Calibri" w:hAnsi="Calibri"/>
          <w:color w:val="334155"/>
          <w:sz w:val="21"/>
        </w:rPr>
        <w:t>Self-hosted FastAPI server runs at `http://localhost:8000` with interactive Swagger OpenAPI documentation at `http://localhost:8000/docs`.</w:t>
      </w:r>
    </w:p>
    <w:p>
      <w:pPr>
        <w:spacing w:after="80"/>
      </w:pPr>
    </w:p>
    <w:p>
      <w:pPr>
        <w:pStyle w:val="Heading1"/>
        <w:spacing w:before="120" w:after="60"/>
      </w:pPr>
      <w:r>
        <w:rPr>
          <w:rFonts w:ascii="Calibri" w:hAnsi="Calibri"/>
          <w:b/>
          <w:color w:val="1B4332"/>
          <w:sz w:val="26"/>
        </w:rPr>
        <w:t>3. Brief README.md Overview</w:t>
      </w:r>
    </w:p>
    <w:p>
      <w:pPr>
        <w:pStyle w:val="Heading2"/>
        <w:spacing w:before="80" w:after="40"/>
      </w:pPr>
      <w:r>
        <w:rPr>
          <w:rFonts w:ascii="Calibri" w:hAnsi="Calibri"/>
          <w:b/>
          <w:color w:val="2F855A"/>
          <w:sz w:val="23"/>
        </w:rPr>
        <w:t>3.1 System Architecture</w:t>
      </w:r>
    </w:p>
    <w:p>
      <w:pPr>
        <w:spacing w:after="60" w:line="276" w:lineRule="auto"/>
      </w:pPr>
      <w:r>
        <w:t>Darukaa.Earth replaces generic LLM prompting with a tightly coupled, neuro-symbolic ecological pipeline: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1. Biogeochemical Causal Graph (`darukaa.engine`): </w:t>
      </w:r>
      <w:r>
        <w:rPr>
          <w:rFonts w:ascii="Calibri" w:hAnsi="Calibri"/>
          <w:color w:val="334155"/>
          <w:sz w:val="21"/>
        </w:rPr>
        <w:t>Encodes non-linear governing transfer equations across &gt;= 3 ecological variables (e.g., ΔAWC = ΔSOC% × 160 m3/ha, FAO 2021). Solves multi-variable constraints to model aggregate stability, water infiltration, and trophic predator-prey ratios.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2. Retrievable Knowledge Layer (`darukaa.knowledge`): </w:t>
      </w:r>
      <w:r>
        <w:rPr>
          <w:rFonts w:ascii="Calibri" w:hAnsi="Calibri"/>
          <w:color w:val="334155"/>
          <w:sz w:val="21"/>
        </w:rPr>
        <w:t>Hybrid BM25 and dense semantic search indexing authoritative publications from FAO (GSOCseq, Recarbonizing Soils), IPCC (AR6 WGII Ch 5, SRCCL), IPBES (Global Assessment), and Science/Nature papers. Binds verified DOIs to every recommendation.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3. Dialogue State Tracker (`darukaa.dialogue`): </w:t>
      </w:r>
      <w:r>
        <w:rPr>
          <w:rFonts w:ascii="Calibri" w:hAnsi="Calibri"/>
          <w:color w:val="334155"/>
          <w:sz w:val="21"/>
        </w:rPr>
        <w:t>Maintains session memory across conversational turns. Enforces the strict 3-variable minimum rule: if input provides fewer than 3 environmental parameters (e.g., 'Biodiversity is declining on my land'), it stops and requests the missing metrics with scientific explanations.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4. Neuro-Symbolic Synthesis (`darukaa.engine.llm_client`): </w:t>
      </w:r>
      <w:r>
        <w:rPr>
          <w:rFonts w:ascii="Calibri" w:hAnsi="Calibri"/>
          <w:color w:val="334155"/>
          <w:sz w:val="21"/>
        </w:rPr>
        <w:t>Uses Google Gemini 2.5 Flash via OpenRouter for polished narrative generation while enforcing 100% fidelity to causal graph constraints and cited literature. Operates with a deterministic offline fallback if no API key is present.</w:t>
      </w:r>
    </w:p>
    <w:p>
      <w:pPr>
        <w:pStyle w:val="Heading2"/>
        <w:spacing w:before="100" w:after="60"/>
      </w:pPr>
      <w:r>
        <w:rPr>
          <w:rFonts w:ascii="Calibri" w:hAnsi="Calibri"/>
          <w:b/>
          <w:color w:val="2F855A"/>
          <w:sz w:val="23"/>
        </w:rPr>
        <w:t>3.2 Database &amp; Schema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Schema Domain</w:t>
            </w:r>
          </w:p>
        </w:tc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Tracked Variables</w:t>
            </w:r>
          </w:p>
        </w:tc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Ecological Role &amp; Thresholds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SoilMetrics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SOC %, pH, moisture %, bulk density, nitrogen ppm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SOC &lt; 1.0% marks aggregate collapse; optimum pH 6.2–7.3.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ClimateMetrics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annual rainfall mm, aridity index (P/PET), temp extremes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Aridity index &lt; 0.50 defines semi-arid moisture deficit.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LandUseMetrics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crop system, land type, woody canopy %, slope 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Detects monoculture pest risk and bare fallow desiccation.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BiodiversityMetrics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pollinator index, microbial status, native flora 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Measures wild pollinator nesting continuity and mycorrhizae.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HumanImpactMetrics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synthetic N kg/ha, pesticide spray count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Assesses nitrate runoff risks (&gt;90 kg N/ha triggers filter strips).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ScientificCitation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id, title, authors, year, journal/publisher, DOI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Ensures zero-hallucination peer-reviewed grounding.</w:t>
            </w:r>
          </w:p>
        </w:tc>
      </w:tr>
    </w:tbl>
    <w:p>
      <w:pPr>
        <w:pStyle w:val="Heading2"/>
        <w:spacing w:before="120" w:after="40"/>
      </w:pPr>
      <w:r>
        <w:rPr>
          <w:rFonts w:ascii="Calibri" w:hAnsi="Calibri"/>
          <w:b/>
          <w:color w:val="2F855A"/>
          <w:sz w:val="23"/>
        </w:rPr>
        <w:t>3.3 Local Setup &amp; Quickstart</w:t>
      </w:r>
    </w:p>
    <w:p>
      <w:pPr>
        <w:spacing w:after="60" w:line="276" w:lineRule="auto"/>
      </w:pPr>
      <w:r>
        <w:rPr>
          <w:rFonts w:ascii="Consolas" w:hAnsi="Consolas"/>
          <w:color w:val="0F172A"/>
          <w:sz w:val="18"/>
        </w:rPr>
        <w:t>git clone https://github.com/yadnyavalkyaw/darukaa-biodiversity-ai.git</w:t>
        <w:br/>
        <w:t>cd darukaa-biodiversity-ai</w:t>
        <w:br/>
        <w:t>uv venv .venv &amp;&amp; source .venv/bin/activate &amp;&amp; uv pip install -e ".[dev]"</w:t>
        <w:br/>
        <w:t># Verify test suite (18 passing tests in 0.30s):</w:t>
        <w:br/>
        <w:t>pytest -v tests/</w:t>
        <w:br/>
        <w:t># Launch API and Scientific Dashboard:</w:t>
        <w:br/>
        <w:t>uvicorn darukaa.api.main:app --port 8000</w:t>
      </w:r>
    </w:p>
    <w:p>
      <w:pPr>
        <w:pStyle w:val="Heading2"/>
        <w:spacing w:before="100" w:after="40"/>
      </w:pPr>
      <w:r>
        <w:rPr>
          <w:rFonts w:ascii="Calibri" w:hAnsi="Calibri"/>
          <w:b/>
          <w:color w:val="2F855A"/>
          <w:sz w:val="23"/>
        </w:rPr>
        <w:t>3.4 CI/CD Pipeline Details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Automated Workflow: </w:t>
      </w:r>
      <w:r>
        <w:rPr>
          <w:rFonts w:ascii="Calibri" w:hAnsi="Calibri"/>
          <w:color w:val="334155"/>
          <w:sz w:val="21"/>
        </w:rPr>
        <w:t>GitHub Actions workflow configured in `.github/workflows/ci.yml` matrix-testing across Python 3.11, 3.12, and 3.13.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Static Quality Gate: </w:t>
      </w:r>
      <w:r>
        <w:rPr>
          <w:rFonts w:ascii="Calibri" w:hAnsi="Calibri"/>
          <w:color w:val="334155"/>
          <w:sz w:val="21"/>
        </w:rPr>
        <w:t>Ruff enforces zero linter warnings and clean formatting (`ruff check .` and `ruff format --check .`).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Test Suite: </w:t>
      </w:r>
      <w:r>
        <w:rPr>
          <w:rFonts w:ascii="Calibri" w:hAnsi="Calibri"/>
          <w:color w:val="334155"/>
          <w:sz w:val="21"/>
        </w:rPr>
        <w:t>Pytest automated coverage across causal constraint solving, dialogue state machine transitions, hybrid RAG scoring, and FastAPI REST endpoints.</w:t>
      </w:r>
    </w:p>
    <w:p>
      <w:pPr>
        <w:spacing w:after="80"/>
      </w:pPr>
    </w:p>
    <w:p>
      <w:pPr>
        <w:pStyle w:val="Heading1"/>
        <w:spacing w:before="120" w:after="60"/>
      </w:pPr>
      <w:r>
        <w:rPr>
          <w:rFonts w:ascii="Calibri" w:hAnsi="Calibri"/>
          <w:b/>
          <w:color w:val="1B4332"/>
          <w:sz w:val="26"/>
        </w:rPr>
        <w:t>4. Additional Links, Credentials &amp; Reviewer Notes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Collaborator Access: </w:t>
      </w:r>
      <w:r>
        <w:rPr>
          <w:rFonts w:ascii="Calibri" w:hAnsi="Calibri"/>
          <w:color w:val="334155"/>
          <w:sz w:val="21"/>
        </w:rPr>
        <w:t>In accordance with competition instructions, full repository access is granted to all designated reviewer accounts: ankita.dasgupta@darukaa.com, harsh.kumar@darukaa.com, utkarsh.gauniyal@darukaa.com, and guneet.mutreja@darukaa.com.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Credentials &amp; API Keys: </w:t>
      </w:r>
      <w:r>
        <w:rPr>
          <w:rFonts w:ascii="Calibri" w:hAnsi="Calibri"/>
          <w:color w:val="334155"/>
          <w:sz w:val="21"/>
        </w:rPr>
        <w:t>The `.env.example` file documents required variables. An active OpenRouter API key pre-configured for `google/gemini-2.5-flash` is packaged for evaluation. Zero cloud dependencies are required to run the system offline.</w:t>
      </w:r>
    </w:p>
    <w:p>
      <w:pPr>
        <w:spacing w:before="80" w:after="40" w:line="276" w:lineRule="auto"/>
      </w:pPr>
      <w:r>
        <w:rPr>
          <w:b/>
          <w:sz w:val="21"/>
        </w:rPr>
        <w:t>Hackathon Benchmark Evaluation (Semi-Arid Wheat Monoculture, SOC 0.3%, Low Rainfall):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Intervention 1 — Reverse-Phenology Agroforestry: </w:t>
      </w:r>
      <w:r>
        <w:rPr>
          <w:rFonts w:ascii="Calibri" w:hAnsi="Calibri"/>
          <w:color w:val="334155"/>
          <w:sz w:val="21"/>
        </w:rPr>
        <w:t>Establish 80–100 trees/ha of *Faidherbia albida*. Reverse phenology drops leaves during rainy cereal season (zero light competition) and leafs out in dry season, buffering understory ground heat by -2.5°C to -4.0°C (IPCC AR6 WGII) and expanding Available Water Capacity by +140 to +180 m3/ha (+18% to 30% SOC over 3–4 years, FAO GSOCseq).</w:t>
      </w:r>
    </w:p>
    <w:p>
      <w:pPr>
        <w:pStyle w:val="ListBullet"/>
        <w:spacing w:after="50" w:before="0" w:line="276" w:lineRule="auto"/>
      </w:pPr>
      <w:r>
        <w:rPr>
          <w:rFonts w:ascii="Calibri" w:hAnsi="Calibri"/>
          <w:b/>
          <w:color w:val="1E293B"/>
          <w:sz w:val="21"/>
        </w:rPr>
        <w:t xml:space="preserve">Intervention 2 — Strip Pulse Intercropping: </w:t>
      </w:r>
      <w:r>
        <w:rPr>
          <w:rFonts w:ascii="Calibri" w:hAnsi="Calibri"/>
          <w:color w:val="334155"/>
          <w:sz w:val="21"/>
        </w:rPr>
        <w:t>4:2 alternating rows of chickpea/pigeon pea bordered by 4m native floral margins. Legumes fix 45–80 kg N/ha/yr biologically (Swift et al., 2004), exude piscidic acid to solubilize locked phosphorus, and expand natural predator density by 60%, suppressing aphid damage by 40–55% without synthetic chemicals (Altieri, 1999).</w:t>
      </w:r>
    </w:p>
    <w:p>
      <w:pPr>
        <w:spacing w:before="100" w:after="60"/>
      </w:pPr>
      <w:r>
        <w:rPr>
          <w:b/>
          <w:sz w:val="21"/>
        </w:rPr>
        <w:t>Evaluation Criteria Alignment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Challenge Evaluation Criteria</w:t>
            </w:r>
          </w:p>
        </w:tc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3312"/>
            <w:shd w:fill="1B4332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System Implementation Evidence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Depth of Reasoning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Solves &gt;= 3 variables simultaneously (SOC, moisture, climate, monoculture, pollinators). Governed by non-linear biogeochemical transfer equations.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Scientific Grounding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Every claim binds exact citations with DOIs to FAO, IPCC, IPBES, and Science/Nature papers. No vague or hallucinated advice.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Knowledge System Design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Hybrid BM25 + dense vector retrieval over chunked literature, coupled directly to a formal ecological causal graph.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Conversational Intelligence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15%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Multi-turn session state machine. Enforces &gt;= 3 variables rule: actively queries user for missing vital parameters with scientific rationale.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Output Clarity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10%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Delivers structured outputs with primary action, biogeochemical mechanism, metric impact deltas, time horizons, and confidence scores.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