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Сетевой график проекта</w:t>
      </w:r>
    </w:p>
    <w:p>
      <w:r>
        <w:t>Выпуск нового банковского депозитного счёта. Расчёт и анализ методом CPM.</w:t>
      </w:r>
    </w:p>
    <w:p>
      <w:r>
        <w:t>Источник: Zadanie_3.pdf, стр. 1; внутри файла заголовок «Задание 4 (Построение сетевого графика)».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Код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В исходнике i–j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Содержание работы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Дни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Исполнитель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—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— → 1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Разработка плана мероприятий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—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Иванова И. И.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A1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1–2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Поиск идеи депозитного вклада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30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Иванова И. И.; Петров П. П.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A2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1–3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Разработка системы критериев по выбору идеи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21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Иванов И. И.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A3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2; 3–4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Выбор идеи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2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Иванов И. И.; Петров П. П.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A4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4–5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Технико-экономическое обоснование идеи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2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Петров П. П.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A5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5–6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Составление проекта договора банка с вкладчиком по депозитному счёту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5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Иванов И. И.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A6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6–7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Представление проекта договора руководству банка, его рассмотрение и утверждение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7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Иванов И. И.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A7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7–8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Заказ в типографию на изготовление бланка договора и его выполнение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20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Иванов И. И.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A8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7–9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Заказ на рекламу в печати и его выполнение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14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Иванов И. И.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A9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7–10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Заказ на изготовление стенда и его изготовление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7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Иванов И. И.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A10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8–11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Получение типографского договора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1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Иванов И. И.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A11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9; 10–12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Оформление зала к приёму клиентов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2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Иванов И. И.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A12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11; 12–13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Семинар с работниками банка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1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Иванов И. И.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A13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13–14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Начало работы с клиентами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4"/>
              </w:rPr>
              <w:t>Не указан</w:t>
            </w:r>
          </w:p>
        </w:tc>
      </w:tr>
    </w:tbl>
    <w:p>
      <w:r>
        <w:t>За начало отсчёта принято завершение разработки плана мероприятий: событие 1, время 0. Длительность разработки плана в исходнике не задана, поэтому она не включена в 68 дней.</w:t>
      </w:r>
    </w:p>
    <w:p>
      <w:r>
        <w:t>Зависимости «2; 3», «9; 10» и «11; 12» означают ожидание обеих работ. Сроки выражены в относительных днях; календарная дата начала и режим выходных не заданы.</w:t>
      </w:r>
    </w:p>
    <w:p>
      <w:r>
        <w:t>Применён метод критического пути (CPM). Параллельное выполнение разрешено; ограничения занятости исполнителей в исходных данных не формализованы.</w:t>
      </w:r>
    </w:p>
    <w:p>
      <w:r>
        <w:br w:type="page"/>
      </w:r>
    </w:p>
    <w:p>
      <w:pPr>
        <w:pStyle w:val="Title"/>
      </w:pPr>
      <w:r>
        <w:t>Сетевой график и логические связи</w:t>
      </w:r>
    </w:p>
    <w:p>
      <w:r>
        <w:t>Длительность проекта — 68 дней. Красным выделен критический путь.</w:t>
      </w:r>
    </w:p>
    <w:p>
      <w:r>
        <w:drawing>
          <wp:inline xmlns:a="http://schemas.openxmlformats.org/drawingml/2006/main" xmlns:pic="http://schemas.openxmlformats.org/drawingml/2006/picture">
            <wp:extent cx="9326880" cy="5329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5329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Сроки событий</w:t>
      </w:r>
    </w:p>
    <w:p>
      <w:r>
        <w:t>Tр — ранний срок, Tп — поздний срок; R = Tп − Tр.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Событие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Ранний срок Tр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Поздний срок Tп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Резерв R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Критическое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2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30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30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3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30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30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4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32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32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34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34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6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39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39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7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46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46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8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66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66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9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60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65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Нет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10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60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65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Нет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11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67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67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12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67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67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13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68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68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14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68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68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3079"/>
          </w:tcPr>
          <w:p>
            <w:pPr>
              <w:spacing w:after="40" w:before="20"/>
            </w:pPr>
            <w:r>
              <w:rPr>
                <w:sz w:val="16"/>
              </w:rPr>
              <w:t>Да</w:t>
            </w:r>
          </w:p>
        </w:tc>
      </w:tr>
    </w:tbl>
    <w:p>
      <w:r>
        <w:t>Прямой проход: Tр(j) = max[Tр(i) + t(i,j)]. Обратный проход: Tп(i) = min[Tп(j) − t(i,j)], Tп(14) = 68.</w:t>
      </w:r>
    </w:p>
    <w:p>
      <w:r>
        <w:t>Tр(3) = max(21; 30) = 30; Tр(10) = max(53; 60) = 60; Tр(12) = max(62; 67) = 67.</w:t>
      </w:r>
    </w:p>
    <w:p>
      <w:r>
        <w:br w:type="page"/>
      </w:r>
    </w:p>
    <w:p>
      <w:pPr>
        <w:pStyle w:val="Title"/>
      </w:pPr>
      <w:r>
        <w:t>Параметры работ</w:t>
      </w:r>
    </w:p>
    <w:p>
      <w:r>
        <w:t>Все значения приведены в днях; φ1–φ3 — фиктивные связи.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Работа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Дуга i–j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t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РН (ES)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РО (EF)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ПН (LS)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ПО (LF)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Rп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Rс</w:t>
            </w:r>
          </w:p>
        </w:tc>
      </w:tr>
      <w:tr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A1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1–2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30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30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30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A2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1–3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21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21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9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30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9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A3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3–4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2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30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32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30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32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A4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4–5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2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32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34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32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34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A5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5–6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34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39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34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39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A6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6–7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7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39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46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39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46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A7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7–8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20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46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66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46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66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A8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7–9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14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46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51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65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A9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7–10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7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46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53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58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65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12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7</w:t>
            </w:r>
          </w:p>
        </w:tc>
      </w:tr>
      <w:tr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A10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8–11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66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67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66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67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A11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10–12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2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62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65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67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A12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12–13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67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68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67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68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A13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13–14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68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68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68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68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φ1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2–3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30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30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30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30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φ2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9–10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65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65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φ3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11–12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67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67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67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67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1710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</w:tr>
    </w:tbl>
    <w:p>
      <w:r>
        <w:t>РН = Tр(i); РО = РН + t; ПН = Tп(j) − t; ПО = Tп(j). Rп = Tп(j) − Tр(i) − t; Rс = Tр(j) − Tр(i) − t.</w:t>
      </w:r>
    </w:p>
    <w:p>
      <w:r>
        <w:t>Для A9: РН = 46; РО = 53; ПН = 58; ПО = 65; Rп = 12; Rс = 7 дней.</w:t>
      </w:r>
    </w:p>
    <w:p>
      <w:r>
        <w:br w:type="page"/>
      </w:r>
    </w:p>
    <w:p>
      <w:pPr>
        <w:pStyle w:val="Title"/>
      </w:pPr>
      <w:r>
        <w:t>Полные пути и выводы</w:t>
      </w:r>
    </w:p>
    <w:p>
      <w:r>
        <w:t>Критический путь имеет наибольшую длительность и нулевой резерв.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№</w:t>
            </w:r>
          </w:p>
        </w:tc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Полный путь (события)</w:t>
            </w:r>
          </w:p>
        </w:tc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Длительность</w:t>
            </w:r>
          </w:p>
        </w:tc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Резерв пути</w:t>
            </w:r>
          </w:p>
        </w:tc>
      </w:tr>
      <w:tr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1 → 2 → 3 → 4 → 5 → 6 → 7 → 8 → 11 → 12 → 13 → 14</w:t>
            </w:r>
          </w:p>
        </w:tc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68</w:t>
            </w:r>
          </w:p>
        </w:tc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2</w:t>
            </w:r>
          </w:p>
        </w:tc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1 → 2 → 3 → 4 → 5 → 6 → 7 → 9 → 10 → 12 → 13 → 14</w:t>
            </w:r>
          </w:p>
        </w:tc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63</w:t>
            </w:r>
          </w:p>
        </w:tc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3</w:t>
            </w:r>
          </w:p>
        </w:tc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1 → 3 → 4 → 5 → 6 → 7 → 8 → 11 → 12 → 13 → 14</w:t>
            </w:r>
          </w:p>
        </w:tc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59</w:t>
            </w:r>
          </w:p>
        </w:tc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4</w:t>
            </w:r>
          </w:p>
        </w:tc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1 → 2 → 3 → 4 → 5 → 6 → 7 → 10 → 12 → 13 → 14</w:t>
            </w:r>
          </w:p>
        </w:tc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56</w:t>
            </w:r>
          </w:p>
        </w:tc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12</w:t>
            </w:r>
          </w:p>
        </w:tc>
      </w:tr>
      <w:tr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1 → 3 → 4 → 5 → 6 → 7 → 9 → 10 → 12 → 13 → 14</w:t>
            </w:r>
          </w:p>
        </w:tc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54</w:t>
            </w:r>
          </w:p>
        </w:tc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14</w:t>
            </w:r>
          </w:p>
        </w:tc>
      </w:tr>
      <w:tr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6</w:t>
            </w:r>
          </w:p>
        </w:tc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1 → 3 → 4 → 5 → 6 → 7 → 10 → 12 → 13 → 14</w:t>
            </w:r>
          </w:p>
        </w:tc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47</w:t>
            </w:r>
          </w:p>
        </w:tc>
        <w:tc>
          <w:tcPr>
            <w:tcW w:type="dxa" w:w="3848"/>
          </w:tcPr>
          <w:p>
            <w:pPr>
              <w:spacing w:after="40" w:before="20"/>
            </w:pPr>
            <w:r>
              <w:rPr>
                <w:sz w:val="16"/>
              </w:rPr>
              <w:t>21</w:t>
            </w:r>
          </w:p>
        </w:tc>
      </w:tr>
    </w:tbl>
    <w:p>
      <w:r>
        <w:t>Минимальная длительность проекта при заданных зависимостях — 68 дней от события 1. Начало работы с клиентами (A13) — в момент 68; его длительность равна нулю.</w:t>
      </w:r>
    </w:p>
    <w:p>
      <w:r>
        <w:t>Единственный критический путь: 1 → 2 → 3 → 4 → 5 → 6 → 7 → 8 → 11 → 12 → 13 → 14. Фиктивные связи φ1 и φ3 входят в этот путь и не увеличивают его длину.</w:t>
      </w:r>
    </w:p>
    <w:p>
      <w:r>
        <w:t>Критические реальные работы: A1, A3, A4, A5, A6, A7, A10, A12 и A13. Проверка суммы: 30 + 2 + 2 + 5 + 7 + 20 + 1 + 1 + 0 = 68 дней. Задержка любой из них при неизменном остальном плане сдвигает окончание проекта.</w:t>
      </w:r>
    </w:p>
    <w:p>
      <w:r>
        <w:t>Полные резервы некритических работ: A2 — 9 дней; A8 — 5 дней; A9 — 12 дней; A11 — 5 дней. Резервы последовательных работ нельзя складывать: например, A8 и A11 используют один запас в 5 дней на своей ветви.</w:t>
      </w:r>
    </w:p>
    <w:p>
      <w:r>
        <w:t>Свободные резервы: A2 — 9 дней, A9 — 7 дней, A11 — 5 дней; у остальных реальных работ — 0. A8 можно сдвинуть до 5 дней без задержки проекта, но это сдвинет раннее начало следующей работы A11.</w:t>
      </w:r>
    </w:p>
    <w:p>
      <w:r>
        <w:t>События 9 и 10 имеют резерв по 5 дней; остальные события — нулевой. Ближайший к критическому полный путь длится 63 дня, его запас — 5 дней.</w:t>
      </w:r>
    </w:p>
    <w:p>
      <w:r>
        <w:t>Приоритет контроля: поиск идеи, согласование договора и изготовление бланков. Если требуется сократить срок проекта, сокращать нужно работы критического пути, затем пересчитывать сеть.</w:t>
      </w:r>
    </w:p>
    <w:p>
      <w:r>
        <w:t>Ограничение результата: в таблице несколько параллельных работ закреплены за Ивановым И. И. Их длительности включают заказы и ожидание, но трудозатраты и доступность исполнителя не заданы. Поэтому 68 дней — срок по логическим зависимостям; ресурсное выравнивание требует дополнительных данных.</w:t>
      </w:r>
    </w:p>
    <w:p>
      <w:r>
        <w:br w:type="page"/>
      </w:r>
    </w:p>
    <w:p>
      <w:pPr>
        <w:pStyle w:val="Title"/>
      </w:pPr>
      <w:r>
        <w:t>Пояснение построения сети</w:t>
      </w:r>
    </w:p>
    <w:p>
      <w:r>
        <w:t>Сохранена нумерация событий 1–14. Реальные работы не дублируются.</w:t>
      </w:r>
    </w:p>
    <w:p>
      <w:r>
        <w:t>φ1: 2 → 3, 0 дней. A3 (выбор идеи) выполняется по дуге 3 → 4 только после A1 и A2.</w:t>
      </w:r>
    </w:p>
    <w:p>
      <w:r>
        <w:t>φ2: 9 → 10, 0 дней. A11 (оформление зала) выполняется по дуге 10 → 12 после A8 и A9.</w:t>
      </w:r>
    </w:p>
    <w:p>
      <w:r>
        <w:t>φ3: 11 → 12, 0 дней. A12 (семинар) выполняется по дуге 12 → 13 после A10 и A11.</w:t>
      </w:r>
    </w:p>
    <w:p>
      <w:r>
        <w:t>После объединения событие 3 означает готовность к выбору идеи, 10 — готовность к оформлению зала, 12 — готовность к семинару. Окончание отдельной входящей работы может предшествовать сроку общего события; это отражено свободным резервом.</w:t>
      </w:r>
    </w:p>
    <w:p>
      <w:r>
        <w:t>Дуги, уточняющие строки исходной таблицы: «2; 3 → 4» представлена работой A3: 3 → 4 и связью φ1; «9; 10 → 12» — A11: 10 → 12 и φ2; «11; 12 → 13» — A12: 12 → 13 и φ3.</w:t>
      </w:r>
    </w:p>
    <w:p>
      <w:r>
        <w:t>Эта запись эквивалентна исходным зависимостям: выбор идеи ждёт поиск и критерии, оформление зала — рекламу и стенд, семинар — получение договора и оформление зала. События объединения не следует трактовать как отдельные ранние окончания всех входящих работ.</w:t>
      </w:r>
    </w:p>
    <w:sectPr w:rsidR="00FC693F" w:rsidRPr="0006063C" w:rsidSect="00034616">
      <w:pgSz w:w="16834" w:h="11909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733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733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Сетевой график проекта и анализ</dc:title>
  <dc:subject>Новый банковский депозитный счёт; срок проекта 68 дней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