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i w:val="false"/>
          <w:iCs w:val="false"/>
          <w:sz w:val="24"/>
          <w:szCs w:val="24"/>
        </w:rPr>
        <w:t xml:space="preserve">Universidad Veracruzana</w:t>
      </w:r>
    </w:p>
    <w:p>
      <w:pPr>
        <w:spacing w:after="40"/>
        <w:jc w:val="center"/>
      </w:pPr>
      <w:r>
        <w:rPr>
          <w:rFonts w:ascii="Calibri" w:cs="Calibri" w:eastAsia="Calibri" w:hAnsi="Calibri"/>
          <w:b w:val="false"/>
          <w:bCs w:val="false"/>
          <w:i w:val="false"/>
          <w:iCs w:val="false"/>
          <w:sz w:val="21"/>
          <w:szCs w:val="21"/>
        </w:rPr>
        <w:t xml:space="preserve">Facultad de Contaduría y Administración</w:t>
      </w:r>
    </w:p>
    <w:p>
      <w:pPr>
        <w:spacing w:after="40"/>
        <w:jc w:val="center"/>
      </w:pPr>
      <w:r>
        <w:rPr>
          <w:rFonts w:ascii="Calibri" w:cs="Calibri" w:eastAsia="Calibri" w:hAnsi="Calibri"/>
          <w:b/>
          <w:bCs/>
          <w:i w:val="false"/>
          <w:iCs w:val="false"/>
          <w:sz w:val="21"/>
          <w:szCs w:val="21"/>
        </w:rPr>
        <w:t xml:space="preserve">Licenciatura en Sistemas Computacionales Administrativos</w:t>
      </w:r>
    </w:p>
    <w:p>
      <w:pPr>
        <w:spacing w:after="300"/>
        <w:jc w:val="center"/>
      </w:pPr>
      <w:r>
        <w:rPr>
          <w:rFonts w:ascii="Calibri" w:cs="Calibri" w:eastAsia="Calibri" w:hAnsi="Calibri"/>
          <w:b/>
          <w:bCs/>
          <w:i w:val="false"/>
          <w:iCs w:val="false"/>
          <w:sz w:val="21"/>
          <w:szCs w:val="21"/>
        </w:rPr>
        <w:t xml:space="preserve">EE: Ingeniería de Software</w:t>
      </w:r>
    </w:p>
    <w:p>
      <w:pPr>
        <w:spacing w:after="60"/>
        <w:jc w:val="center"/>
      </w:pPr>
      <w:r>
        <w:rPr>
          <w:rFonts w:ascii="Calibri" w:cs="Calibri" w:eastAsia="Calibri" w:hAnsi="Calibri"/>
          <w:b/>
          <w:bCs/>
          <w:i w:val="false"/>
          <w:iCs w:val="false"/>
          <w:color w:val="1F3864"/>
          <w:sz w:val="32"/>
          <w:szCs w:val="32"/>
        </w:rPr>
        <w:t xml:space="preserve">Segunda etapa: Inspección de software y calidad</w:t>
      </w:r>
    </w:p>
    <w:p>
      <w:pPr>
        <w:spacing w:after="320"/>
        <w:jc w:val="center"/>
      </w:pPr>
      <w:r>
        <w:rPr>
          <w:rFonts w:ascii="Calibri" w:cs="Calibri" w:eastAsia="Calibri" w:hAnsi="Calibri"/>
          <w:b/>
          <w:bCs/>
          <w:i w:val="false"/>
          <w:iCs w:val="false"/>
          <w:sz w:val="26"/>
          <w:szCs w:val="26"/>
        </w:rPr>
        <w:t xml:space="preserve">Matriz de casos de prueba — Sistema de Biblioteca</w:t>
      </w:r>
    </w:p>
    <w:p>
      <w:pPr>
        <w:pStyle w:val="Heading1"/>
        <w:spacing w:after="140" w:before="320"/>
      </w:pPr>
      <w:r>
        <w:rPr>
          <w:rFonts w:ascii="Calibri" w:cs="Calibri" w:eastAsia="Calibri" w:hAnsi="Calibri"/>
          <w:b/>
          <w:bCs/>
          <w:i w:val="false"/>
          <w:iCs w:val="false"/>
          <w:color w:val="1F3864"/>
          <w:sz w:val="28"/>
          <w:szCs w:val="28"/>
        </w:rPr>
        <w:t xml:space="preserve">1. Introducción</w:t>
      </w:r>
    </w:p>
    <w:p>
      <w:pPr>
        <w:spacing w:after="130"/>
        <w:jc w:val="both"/>
      </w:pPr>
      <w:r>
        <w:rPr>
          <w:rFonts w:ascii="Calibri" w:cs="Calibri" w:eastAsia="Calibri" w:hAnsi="Calibri"/>
          <w:b w:val="false"/>
          <w:bCs w:val="false"/>
          <w:i w:val="false"/>
          <w:iCs w:val="false"/>
          <w:sz w:val="21"/>
          <w:szCs w:val="21"/>
        </w:rPr>
        <w:t xml:space="preserve">Este documento corresponde a la segunda etapa del proyecto de aseguramiento de calidad y presenta el diseño de la suite de pruebas automatizadas para el sistema de biblioteca desarrollado en Java con interfaz Swing y persistencia en MySQL y archivos CSV. Antes de escribir una sola prueba se identificaron, para cada método bajo análisis, los tres elementos que solicita el proyecto: los datos de entrada que recibe el método, el camino feliz en el que el usuario introduce datos perfectos y el sistema responde con éxito, y los caminos de excepción en los que los datos violan las reglas de negocio, faltan datos o el entorno falla.</w:t>
      </w:r>
    </w:p>
    <w:p>
      <w:pPr>
        <w:spacing w:after="130"/>
        <w:jc w:val="both"/>
      </w:pPr>
      <w:r>
        <w:rPr>
          <w:rFonts w:ascii="Calibri" w:cs="Calibri" w:eastAsia="Calibri" w:hAnsi="Calibri"/>
          <w:b w:val="false"/>
          <w:bCs w:val="false"/>
          <w:i w:val="false"/>
          <w:iCs w:val="false"/>
          <w:sz w:val="21"/>
          <w:szCs w:val="21"/>
        </w:rPr>
        <w:t xml:space="preserve">El alcance de esta matriz se concentra en las clases de negocio del paquete ClasesBiblia, en la persistencia sobre archivos CSV del paquete DAOBiblia y en la validación de reglas de negocio del alta de libros. Se excluyeron deliberadamente las operaciones que dependen de una conexión activa a MySQL, con el fin de que la suite se pueda ejecutar de forma reproducible en cualquier equipo y la bitácora de JUnit permanezca en verde sin depender de que el servidor de base de datos esté levantado.</w:t>
      </w:r>
    </w:p>
    <w:p>
      <w:pPr>
        <w:spacing w:after="130"/>
        <w:jc w:val="both"/>
      </w:pPr>
      <w:r>
        <w:rPr>
          <w:rFonts w:ascii="Calibri" w:cs="Calibri" w:eastAsia="Calibri" w:hAnsi="Calibri"/>
          <w:b w:val="false"/>
          <w:bCs w:val="false"/>
          <w:i w:val="false"/>
          <w:iCs w:val="false"/>
          <w:sz w:val="21"/>
          <w:szCs w:val="21"/>
        </w:rPr>
        <w:t xml:space="preserve">El diseño de los casos de prueba no fue un ejercicio teórico: al derivar los caminos de excepción a partir de las reglas de negocio declaradas en el código se detectaron diez defectos reales, que se documentan en la sección 4 y que constituyen el hallazgo principal de esta etapa de inspección.</w:t>
      </w:r>
    </w:p>
    <w:p>
      <w:pPr>
        <w:pStyle w:val="Heading1"/>
        <w:spacing w:after="140" w:before="320"/>
      </w:pPr>
      <w:r>
        <w:rPr>
          <w:rFonts w:ascii="Calibri" w:cs="Calibri" w:eastAsia="Calibri" w:hAnsi="Calibri"/>
          <w:b/>
          <w:bCs/>
          <w:i w:val="false"/>
          <w:iCs w:val="false"/>
          <w:color w:val="1F3864"/>
          <w:sz w:val="28"/>
          <w:szCs w:val="28"/>
        </w:rPr>
        <w:t xml:space="preserve">2. Reglas de negocio identificadas</w:t>
      </w:r>
    </w:p>
    <w:p>
      <w:pPr>
        <w:spacing w:after="130"/>
        <w:jc w:val="both"/>
      </w:pPr>
      <w:r>
        <w:rPr>
          <w:rFonts w:ascii="Calibri" w:cs="Calibri" w:eastAsia="Calibri" w:hAnsi="Calibri"/>
          <w:b w:val="false"/>
          <w:bCs w:val="false"/>
          <w:i w:val="false"/>
          <w:iCs w:val="false"/>
          <w:sz w:val="21"/>
          <w:szCs w:val="21"/>
        </w:rPr>
        <w:t xml:space="preserve">Las reglas que gobiernan el sistema no están declaradas en un documento de especificación, por lo que se extrajeron por lectura directa del código fuente. Las reglas identificadas son las siguientes: un libro se considera disponible únicamente cuando tiene existencias mayores que cero; todos los campos del formulario de alta de libro son obligatorios; las existencias, el año de publicación y el número de páginas deben ser valores numéricos; el año de publicación no puede exceder cuatro dígitos; el número de páginas debe ser al menos uno; y las existencias deben ser al menos una para permitir el registro. Los identificadores de las entidades los asigna la base de datos, por lo que un objeto recién construido conserva el valor cero hasta que se persiste.</w:t>
      </w:r>
    </w:p>
    <w:p>
      <w:pPr>
        <w:spacing w:after="130"/>
        <w:jc w:val="both"/>
      </w:pPr>
      <w:r>
        <w:rPr>
          <w:rFonts w:ascii="Calibri" w:cs="Calibri" w:eastAsia="Calibri" w:hAnsi="Calibri"/>
          <w:b w:val="false"/>
          <w:bCs w:val="false"/>
          <w:i w:val="false"/>
          <w:iCs w:val="false"/>
          <w:sz w:val="21"/>
          <w:szCs w:val="21"/>
        </w:rPr>
        <w:t xml:space="preserve">Es importante señalar que varias de estas reglas están declaradas en los mensajes de error del sistema pero no se cumplen realmente en la implementación, situación que la matriz documenta caso por caso.</w:t>
      </w:r>
    </w:p>
    <w:p>
      <w:pPr>
        <w:pStyle w:val="Heading1"/>
        <w:spacing w:after="140" w:before="320"/>
      </w:pPr>
      <w:r>
        <w:rPr>
          <w:rFonts w:ascii="Calibri" w:cs="Calibri" w:eastAsia="Calibri" w:hAnsi="Calibri"/>
          <w:b/>
          <w:bCs/>
          <w:i w:val="false"/>
          <w:iCs w:val="false"/>
          <w:color w:val="1F3864"/>
          <w:sz w:val="28"/>
          <w:szCs w:val="28"/>
        </w:rPr>
        <w:t xml:space="preserve">3. Matriz de casos de prueba</w:t>
      </w:r>
    </w:p>
    <w:p>
      <w:pPr>
        <w:spacing w:after="130"/>
        <w:jc w:val="both"/>
      </w:pPr>
      <w:r>
        <w:rPr>
          <w:rFonts w:ascii="Calibri" w:cs="Calibri" w:eastAsia="Calibri" w:hAnsi="Calibri"/>
          <w:b w:val="false"/>
          <w:bCs w:val="false"/>
          <w:i w:val="false"/>
          <w:iCs w:val="false"/>
          <w:sz w:val="21"/>
          <w:szCs w:val="21"/>
        </w:rPr>
        <w:t xml:space="preserve">La matriz contempla treinta casos de prueba distribuidos en seis grupos funcionales. La columna "Tipo de camino" distingue entre el camino feliz, en verde, y los caminos de excepción, en rojo. Los renglones cuyo identificador aparece resaltado corresponden a casos en los que el comportamiento real del sistema difiere del comportamiento esperado por la regla de negocio, es decir, casos que ponen en evidencia un defecto.</w:t>
      </w:r>
    </w:p>
    <w:p>
      <w:pPr>
        <w:spacing w:after="120"/>
      </w:pPr>
    </w:p>
    <w:tbl>
      <w:tblPr>
        <w:tblW w:type="dxa" w:w="12960"/>
        <w:tblBorders>
          <w:top w:val="single" w:color="9AA5B1" w:sz="6"/>
          <w:left w:val="single" w:color="9AA5B1" w:sz="6"/>
          <w:bottom w:val="single" w:color="9AA5B1" w:sz="6"/>
          <w:right w:val="single" w:color="9AA5B1" w:sz="6"/>
          <w:insideH w:val="single" w:color="C7CDD4" w:sz="4"/>
          <w:insideV w:val="single" w:color="C7CDD4" w:sz="4"/>
        </w:tblBorders>
      </w:tblPr>
      <w:tblGrid>
        <w:gridCol w:w="1200"/>
        <w:gridCol w:w="2200"/>
        <w:gridCol w:w="2960"/>
        <w:gridCol w:w="1040"/>
        <w:gridCol w:w="2900"/>
        <w:gridCol w:w="2660"/>
      </w:tblGrid>
      <w:tr>
        <w:trPr>
          <w:tblHeader/>
        </w:trPr>
        <w:tc>
          <w:tcPr>
            <w:tcW w:type="dxa" w:w="1200"/>
            <w:shd w:fill="1F386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color w:val="FFFFFF"/>
                <w:sz w:val="18"/>
                <w:szCs w:val="18"/>
              </w:rPr>
              <w:t xml:space="preserve">Prueba de identificación</w:t>
            </w:r>
          </w:p>
        </w:tc>
        <w:tc>
          <w:tcPr>
            <w:tcW w:type="dxa" w:w="2200"/>
            <w:shd w:fill="1F386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color w:val="FFFFFF"/>
                <w:sz w:val="18"/>
                <w:szCs w:val="18"/>
              </w:rPr>
              <w:t xml:space="preserve">Componente / Método</w:t>
            </w:r>
          </w:p>
        </w:tc>
        <w:tc>
          <w:tcPr>
            <w:tcW w:type="dxa" w:w="2960"/>
            <w:shd w:fill="1F386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color w:val="FFFFFF"/>
                <w:sz w:val="18"/>
                <w:szCs w:val="18"/>
              </w:rPr>
              <w:t xml:space="preserve">Escenario evaluado</w:t>
            </w:r>
          </w:p>
        </w:tc>
        <w:tc>
          <w:tcPr>
            <w:tcW w:type="dxa" w:w="1040"/>
            <w:shd w:fill="1F386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color w:val="FFFFFF"/>
                <w:sz w:val="18"/>
                <w:szCs w:val="18"/>
              </w:rPr>
              <w:t xml:space="preserve">Tipo de camino</w:t>
            </w:r>
          </w:p>
        </w:tc>
        <w:tc>
          <w:tcPr>
            <w:tcW w:type="dxa" w:w="2900"/>
            <w:shd w:fill="1F386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color w:val="FFFFFF"/>
                <w:sz w:val="18"/>
                <w:szCs w:val="18"/>
              </w:rPr>
              <w:t xml:space="preserve">Valor de entrada</w:t>
            </w:r>
          </w:p>
        </w:tc>
        <w:tc>
          <w:tcPr>
            <w:tcW w:type="dxa" w:w="2660"/>
            <w:shd w:fill="1F386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color w:val="FFFFFF"/>
                <w:sz w:val="18"/>
                <w:szCs w:val="18"/>
              </w:rPr>
              <w:t xml:space="preserve">Resultado esperado</w:t>
            </w:r>
          </w:p>
        </w:tc>
      </w:tr>
      <w:tr>
        <w:tc>
          <w:tcPr>
            <w:tcW w:type="dxa" w:w="12960"/>
            <w:gridSpan w:val="6"/>
            <w:shd w:fill="FFF2CC"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color w:val="1F3864"/>
                <w:sz w:val="18"/>
                <w:szCs w:val="18"/>
              </w:rPr>
              <w:t xml:space="preserve">Grupo A.1 — Regla de disponibilidad del libro (clase Libro)</w:t>
            </w:r>
          </w:p>
        </w:tc>
      </w:tr>
      <w:tr>
        <w:tc>
          <w:tcPr>
            <w:tcW w:type="dxa" w:w="1200"/>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TC-01</w:t>
            </w:r>
          </w:p>
        </w:tc>
        <w:tc>
          <w:tcPr>
            <w:tcW w:type="dxa" w:w="22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Libro.setDisponible(boolean)</w:t>
            </w:r>
          </w:p>
        </w:tc>
        <w:tc>
          <w:tcPr>
            <w:tcW w:type="dxa" w:w="29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Libro con existencias positivas queda marcado como disponible</w:t>
            </w:r>
          </w:p>
        </w:tc>
        <w:tc>
          <w:tcPr>
            <w:tcW w:type="dxa" w:w="1040"/>
            <w:shd w:fill="D9EAD3"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Feliz</w:t>
            </w:r>
          </w:p>
        </w:tc>
        <w:tc>
          <w:tcPr>
            <w:tcW w:type="dxa" w:w="29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existencias = 5; setDisponible(true)</w:t>
            </w:r>
          </w:p>
        </w:tc>
        <w:tc>
          <w:tcPr>
            <w:tcW w:type="dxa" w:w="26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isDisponible() devuelve true</w:t>
            </w:r>
          </w:p>
        </w:tc>
      </w:tr>
      <w:tr>
        <w:tc>
          <w:tcPr>
            <w:tcW w:type="dxa" w:w="1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TC-02</w:t>
            </w:r>
          </w:p>
        </w:tc>
        <w:tc>
          <w:tcPr>
            <w:tcW w:type="dxa" w:w="2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Libro.setDisponible(boolean)</w:t>
            </w:r>
          </w:p>
        </w:tc>
        <w:tc>
          <w:tcPr>
            <w:tcW w:type="dxa" w:w="29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Libro sin existencias queda marcado como agotado</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existencias = 0; setDisponible(true)</w:t>
            </w:r>
          </w:p>
        </w:tc>
        <w:tc>
          <w:tcPr>
            <w:tcW w:type="dxa" w:w="26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isDisponible() devuelve false</w:t>
            </w:r>
          </w:p>
        </w:tc>
      </w:tr>
      <w:tr>
        <w:tc>
          <w:tcPr>
            <w:tcW w:type="dxa" w:w="1200"/>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TC-03</w:t>
            </w:r>
          </w:p>
        </w:tc>
        <w:tc>
          <w:tcPr>
            <w:tcW w:type="dxa" w:w="22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Libro.setDisponible(boolean)</w:t>
            </w:r>
          </w:p>
        </w:tc>
        <w:tc>
          <w:tcPr>
            <w:tcW w:type="dxa" w:w="29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Existencias negativas por dato corrupto en BD</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existencias = -3; setDisponible(true)</w:t>
            </w:r>
          </w:p>
        </w:tc>
        <w:tc>
          <w:tcPr>
            <w:tcW w:type="dxa" w:w="26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isDisponible() devuelve false; el sistema no marca como disponible</w:t>
            </w:r>
          </w:p>
        </w:tc>
      </w:tr>
      <w:tr>
        <w:tc>
          <w:tcPr>
            <w:tcW w:type="dxa" w:w="1200"/>
            <w:shd w:fill="F4CCCC"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TC-04</w:t>
            </w:r>
          </w:p>
        </w:tc>
        <w:tc>
          <w:tcPr>
            <w:tcW w:type="dxa" w:w="2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Libro.setDisponible(boolean)</w:t>
            </w:r>
          </w:p>
        </w:tc>
        <w:tc>
          <w:tcPr>
            <w:tcW w:type="dxa" w:w="29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El valor recibido por parámetro debe respetarse</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existencias = 5; setDisponible(false)</w:t>
            </w:r>
          </w:p>
        </w:tc>
        <w:tc>
          <w:tcPr>
            <w:tcW w:type="dxa" w:w="26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Por regla: isDisponible() debe devolver false. Comportamiento real: devuelve true (D-01)</w:t>
            </w:r>
          </w:p>
        </w:tc>
      </w:tr>
      <w:tr>
        <w:tc>
          <w:tcPr>
            <w:tcW w:type="dxa" w:w="12960"/>
            <w:gridSpan w:val="6"/>
            <w:shd w:fill="FFF2CC"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color w:val="1F3864"/>
                <w:sz w:val="18"/>
                <w:szCs w:val="18"/>
              </w:rPr>
              <w:t xml:space="preserve">Grupo A.2 — Serialización de libros a formato CSV (clase Libro)</w:t>
            </w:r>
          </w:p>
        </w:tc>
      </w:tr>
      <w:tr>
        <w:tc>
          <w:tcPr>
            <w:tcW w:type="dxa" w:w="1200"/>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TC-05</w:t>
            </w:r>
          </w:p>
        </w:tc>
        <w:tc>
          <w:tcPr>
            <w:tcW w:type="dxa" w:w="22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Libro.toStringLibro()</w:t>
            </w:r>
          </w:p>
        </w:tc>
        <w:tc>
          <w:tcPr>
            <w:tcW w:type="dxa" w:w="29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Serialización de un libro completo a línea CSV</w:t>
            </w:r>
          </w:p>
        </w:tc>
        <w:tc>
          <w:tcPr>
            <w:tcW w:type="dxa" w:w="1040"/>
            <w:shd w:fill="D9EAD3"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Feliz</w:t>
            </w:r>
          </w:p>
        </w:tc>
        <w:tc>
          <w:tcPr>
            <w:tcW w:type="dxa" w:w="29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Libro(1, "El Quijote", "Cervantes", "Novela", "Planeta", 3, 1605, 863, true)</w:t>
            </w:r>
          </w:p>
        </w:tc>
        <w:tc>
          <w:tcPr>
            <w:tcW w:type="dxa" w:w="26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Cadena con 9 campos separados por coma, en el orden del encabezado del CSV</w:t>
            </w:r>
          </w:p>
        </w:tc>
      </w:tr>
      <w:tr>
        <w:tc>
          <w:tcPr>
            <w:tcW w:type="dxa" w:w="1200"/>
            <w:shd w:fill="F4CCCC"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TC-06</w:t>
            </w:r>
          </w:p>
        </w:tc>
        <w:tc>
          <w:tcPr>
            <w:tcW w:type="dxa" w:w="2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Libro.toStringLibro()</w:t>
            </w:r>
          </w:p>
        </w:tc>
        <w:tc>
          <w:tcPr>
            <w:tcW w:type="dxa" w:w="29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Título que contiene una coma rompe el formato CSV</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titulo = "Cien años, edición especial"</w:t>
            </w:r>
          </w:p>
        </w:tc>
        <w:tc>
          <w:tcPr>
            <w:tcW w:type="dxa" w:w="26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Por regla: el campo debe escaparse y conservar 9 columnas. Real: genera 10 columnas (D-02)</w:t>
            </w:r>
          </w:p>
        </w:tc>
      </w:tr>
      <w:tr>
        <w:tc>
          <w:tcPr>
            <w:tcW w:type="dxa" w:w="1200"/>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TC-07</w:t>
            </w:r>
          </w:p>
        </w:tc>
        <w:tc>
          <w:tcPr>
            <w:tcW w:type="dxa" w:w="22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Libro.toStringLibro()</w:t>
            </w:r>
          </w:p>
        </w:tc>
        <w:tc>
          <w:tcPr>
            <w:tcW w:type="dxa" w:w="29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Atributos de texto en valor nulo</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titulo = null; autor = null</w:t>
            </w:r>
          </w:p>
        </w:tc>
        <w:tc>
          <w:tcPr>
            <w:tcW w:type="dxa" w:w="26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No lanza NullPointerException; concatena el literal "null" sin interrumpir la operación</w:t>
            </w:r>
          </w:p>
        </w:tc>
      </w:tr>
      <w:tr>
        <w:tc>
          <w:tcPr>
            <w:tcW w:type="dxa" w:w="12960"/>
            <w:gridSpan w:val="6"/>
            <w:shd w:fill="FFF2CC"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color w:val="1F3864"/>
                <w:sz w:val="18"/>
                <w:szCs w:val="18"/>
              </w:rPr>
              <w:t xml:space="preserve">Grupo A.3 — Alta y consulta de publicaciones (clase Publicacion)</w:t>
            </w:r>
          </w:p>
        </w:tc>
      </w:tr>
      <w:tr>
        <w:tc>
          <w:tcPr>
            <w:tcW w:type="dxa" w:w="1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TC-08</w:t>
            </w:r>
          </w:p>
        </w:tc>
        <w:tc>
          <w:tcPr>
            <w:tcW w:type="dxa" w:w="2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Publicacion (constructor 5 arg.)</w:t>
            </w:r>
          </w:p>
        </w:tc>
        <w:tc>
          <w:tcPr>
            <w:tcW w:type="dxa" w:w="29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Alta de publicación recuperada de la base con id asignado</w:t>
            </w:r>
          </w:p>
        </w:tc>
        <w:tc>
          <w:tcPr>
            <w:tcW w:type="dxa" w:w="1040"/>
            <w:shd w:fill="D9EAD3"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Feliz</w:t>
            </w:r>
          </w:p>
        </w:tc>
        <w:tc>
          <w:tcPr>
            <w:tcW w:type="dxa" w:w="29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(10, "Título", "Autor", 2020, 4)</w:t>
            </w:r>
          </w:p>
        </w:tc>
        <w:tc>
          <w:tcPr>
            <w:tcW w:type="dxa" w:w="26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getIdLibro() = 10 y getExistencias() = 4</w:t>
            </w:r>
          </w:p>
        </w:tc>
      </w:tr>
      <w:tr>
        <w:tc>
          <w:tcPr>
            <w:tcW w:type="dxa" w:w="1200"/>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TC-09</w:t>
            </w:r>
          </w:p>
        </w:tc>
        <w:tc>
          <w:tcPr>
            <w:tcW w:type="dxa" w:w="22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Publicacion (constructor 4 arg.)</w:t>
            </w:r>
          </w:p>
        </w:tc>
        <w:tc>
          <w:tcPr>
            <w:tcW w:type="dxa" w:w="29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Alta de publicación nueva, aún sin id de base de datos</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("Título", "Autor", 2020, 4)</w:t>
            </w:r>
          </w:p>
        </w:tc>
        <w:tc>
          <w:tcPr>
            <w:tcW w:type="dxa" w:w="26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getIdLibro() = 0, indicando id no asignado todavía</w:t>
            </w:r>
          </w:p>
        </w:tc>
      </w:tr>
      <w:tr>
        <w:tc>
          <w:tcPr>
            <w:tcW w:type="dxa" w:w="1200"/>
            <w:shd w:fill="F4CCCC"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TC-10</w:t>
            </w:r>
          </w:p>
        </w:tc>
        <w:tc>
          <w:tcPr>
            <w:tcW w:type="dxa" w:w="2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Publicacion.getPublicacion() / getAnoPublicacion()</w:t>
            </w:r>
          </w:p>
        </w:tc>
        <w:tc>
          <w:tcPr>
            <w:tcW w:type="dxa" w:w="29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Dos getters distintos exponen el mismo atributo</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anoPublicacion = 1999</w:t>
            </w:r>
          </w:p>
        </w:tc>
        <w:tc>
          <w:tcPr>
            <w:tcW w:type="dxa" w:w="26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Ambos métodos devuelven 1999; se documenta la duplicación innecesaria (D-03)</w:t>
            </w:r>
          </w:p>
        </w:tc>
      </w:tr>
      <w:tr>
        <w:tc>
          <w:tcPr>
            <w:tcW w:type="dxa" w:w="12960"/>
            <w:gridSpan w:val="6"/>
            <w:shd w:fill="FFF2CC"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color w:val="1F3864"/>
                <w:sz w:val="18"/>
                <w:szCs w:val="18"/>
              </w:rPr>
              <w:t xml:space="preserve">Grupo A.4 — Herencia de datos personales (Persona, Usuario, Empleado)</w:t>
            </w:r>
          </w:p>
        </w:tc>
      </w:tr>
      <w:tr>
        <w:tc>
          <w:tcPr>
            <w:tcW w:type="dxa" w:w="1200"/>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TC-11</w:t>
            </w:r>
          </w:p>
        </w:tc>
        <w:tc>
          <w:tcPr>
            <w:tcW w:type="dxa" w:w="22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Usuario.toStringUsuario()</w:t>
            </w:r>
          </w:p>
        </w:tc>
        <w:tc>
          <w:tcPr>
            <w:tcW w:type="dxa" w:w="29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Serialización de usuario heredando los datos de Persona</w:t>
            </w:r>
          </w:p>
        </w:tc>
        <w:tc>
          <w:tcPr>
            <w:tcW w:type="dxa" w:w="1040"/>
            <w:shd w:fill="D9EAD3"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Feliz</w:t>
            </w:r>
          </w:p>
        </w:tc>
        <w:tc>
          <w:tcPr>
            <w:tcW w:type="dxa" w:w="29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Usuario con los 9 atributos llenos</w:t>
            </w:r>
          </w:p>
        </w:tc>
        <w:tc>
          <w:tcPr>
            <w:tcW w:type="dxa" w:w="26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Cadena de 9 campos con el teléfono en la octava posición</w:t>
            </w:r>
          </w:p>
        </w:tc>
      </w:tr>
      <w:tr>
        <w:tc>
          <w:tcPr>
            <w:tcW w:type="dxa" w:w="1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TC-12</w:t>
            </w:r>
          </w:p>
        </w:tc>
        <w:tc>
          <w:tcPr>
            <w:tcW w:type="dxa" w:w="2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Empleado.toStringUsuario()</w:t>
            </w:r>
          </w:p>
        </w:tc>
        <w:tc>
          <w:tcPr>
            <w:tcW w:type="dxa" w:w="29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Serialización de empleado heredando los datos de Persona</w:t>
            </w:r>
          </w:p>
        </w:tc>
        <w:tc>
          <w:tcPr>
            <w:tcW w:type="dxa" w:w="1040"/>
            <w:shd w:fill="D9EAD3"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Feliz</w:t>
            </w:r>
          </w:p>
        </w:tc>
        <w:tc>
          <w:tcPr>
            <w:tcW w:type="dxa" w:w="29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Empleado con los 9 atributos llenos</w:t>
            </w:r>
          </w:p>
        </w:tc>
        <w:tc>
          <w:tcPr>
            <w:tcW w:type="dxa" w:w="26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Cadena de 9 campos con tipoEmpleado en la novena posición</w:t>
            </w:r>
          </w:p>
        </w:tc>
      </w:tr>
      <w:tr>
        <w:tc>
          <w:tcPr>
            <w:tcW w:type="dxa" w:w="1200"/>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TC-13</w:t>
            </w:r>
          </w:p>
        </w:tc>
        <w:tc>
          <w:tcPr>
            <w:tcW w:type="dxa" w:w="22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Persona (constructor 7 arg.)</w:t>
            </w:r>
          </w:p>
        </w:tc>
        <w:tc>
          <w:tcPr>
            <w:tcW w:type="dxa" w:w="29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Alta de persona nueva sin identificador</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Constructor sin el parámetro IdUsurero</w:t>
            </w:r>
          </w:p>
        </w:tc>
        <w:tc>
          <w:tcPr>
            <w:tcW w:type="dxa" w:w="26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getId() = 0, indicando que la base aún no asigna el id</w:t>
            </w:r>
          </w:p>
        </w:tc>
      </w:tr>
      <w:tr>
        <w:tc>
          <w:tcPr>
            <w:tcW w:type="dxa" w:w="12960"/>
            <w:gridSpan w:val="6"/>
            <w:shd w:fill="FFF2CC"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color w:val="1F3864"/>
                <w:sz w:val="18"/>
                <w:szCs w:val="18"/>
              </w:rPr>
              <w:t xml:space="preserve">Grupo A.5 — Persistencia en archivo CSV (LibroDao, UsuarioDao)</w:t>
            </w:r>
          </w:p>
        </w:tc>
      </w:tr>
      <w:tr>
        <w:tc>
          <w:tcPr>
            <w:tcW w:type="dxa" w:w="1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TC-14</w:t>
            </w:r>
          </w:p>
        </w:tc>
        <w:tc>
          <w:tcPr>
            <w:tcW w:type="dxa" w:w="2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LibroDao.guardarLibrosCSV() / cargarLibrosCSV()</w:t>
            </w:r>
          </w:p>
        </w:tc>
        <w:tc>
          <w:tcPr>
            <w:tcW w:type="dxa" w:w="29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Ida y vuelta completa de dos libros a través del archivo CSV</w:t>
            </w:r>
          </w:p>
        </w:tc>
        <w:tc>
          <w:tcPr>
            <w:tcW w:type="dxa" w:w="1040"/>
            <w:shd w:fill="D9EAD3"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Feliz</w:t>
            </w:r>
          </w:p>
        </w:tc>
        <w:tc>
          <w:tcPr>
            <w:tcW w:type="dxa" w:w="29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Lista con 2 libros válidos</w:t>
            </w:r>
          </w:p>
        </w:tc>
        <w:tc>
          <w:tcPr>
            <w:tcW w:type="dxa" w:w="26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Se recuperan 2 libros con los mismos valores que se guardaron</w:t>
            </w:r>
          </w:p>
        </w:tc>
      </w:tr>
      <w:tr>
        <w:tc>
          <w:tcPr>
            <w:tcW w:type="dxa" w:w="1200"/>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TC-15</w:t>
            </w:r>
          </w:p>
        </w:tc>
        <w:tc>
          <w:tcPr>
            <w:tcW w:type="dxa" w:w="22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LibroDao.cargarLibrosCSV()</w:t>
            </w:r>
          </w:p>
        </w:tc>
        <w:tc>
          <w:tcPr>
            <w:tcW w:type="dxa" w:w="29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El archivo de respaldo todavía no existe</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Ruta a un archivo inexistente</w:t>
            </w:r>
          </w:p>
        </w:tc>
        <w:tc>
          <w:tcPr>
            <w:tcW w:type="dxa" w:w="26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Crea el archivo vacío y devuelve una lista vacía, sin lanzar excepción</w:t>
            </w:r>
          </w:p>
        </w:tc>
      </w:tr>
      <w:tr>
        <w:tc>
          <w:tcPr>
            <w:tcW w:type="dxa" w:w="1200"/>
            <w:shd w:fill="F4CCCC"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TC-16</w:t>
            </w:r>
          </w:p>
        </w:tc>
        <w:tc>
          <w:tcPr>
            <w:tcW w:type="dxa" w:w="2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LibroDao.cargarLibrosCSV()</w:t>
            </w:r>
          </w:p>
        </w:tc>
        <w:tc>
          <w:tcPr>
            <w:tcW w:type="dxa" w:w="29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Línea con un número de columnas distinto al esperado</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Línea con 7 campos en lugar de 9</w:t>
            </w:r>
          </w:p>
        </w:tc>
        <w:tc>
          <w:tcPr>
            <w:tcW w:type="dxa" w:w="26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Por regla: reportar la línea inválida. Real: la descarta en silencio y pierde el dato (D-04)</w:t>
            </w:r>
          </w:p>
        </w:tc>
      </w:tr>
      <w:tr>
        <w:tc>
          <w:tcPr>
            <w:tcW w:type="dxa" w:w="1200"/>
            <w:shd w:fill="F4CCCC"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TC-17</w:t>
            </w:r>
          </w:p>
        </w:tc>
        <w:tc>
          <w:tcPr>
            <w:tcW w:type="dxa" w:w="22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LibroDao.cargarLibrosCSV()</w:t>
            </w:r>
          </w:p>
        </w:tc>
        <w:tc>
          <w:tcPr>
            <w:tcW w:type="dxa" w:w="29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Campo numérico contiene texto</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Columna Existencias con el valor "abc"</w:t>
            </w:r>
          </w:p>
        </w:tc>
        <w:tc>
          <w:tcPr>
            <w:tcW w:type="dxa" w:w="26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Por regla: error controlado. Real: propaga NumberFormatException sin capturar (D-05)</w:t>
            </w:r>
          </w:p>
        </w:tc>
      </w:tr>
      <w:tr>
        <w:tc>
          <w:tcPr>
            <w:tcW w:type="dxa" w:w="1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TC-18</w:t>
            </w:r>
          </w:p>
        </w:tc>
        <w:tc>
          <w:tcPr>
            <w:tcW w:type="dxa" w:w="2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UsuarioDao.guardarUsuarioCSV() / cargarUsuariosCSV()</w:t>
            </w:r>
          </w:p>
        </w:tc>
        <w:tc>
          <w:tcPr>
            <w:tcW w:type="dxa" w:w="29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Ida y vuelta de un usuario a través del archivo CSV</w:t>
            </w:r>
          </w:p>
        </w:tc>
        <w:tc>
          <w:tcPr>
            <w:tcW w:type="dxa" w:w="1040"/>
            <w:shd w:fill="D9EAD3"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Feliz</w:t>
            </w:r>
          </w:p>
        </w:tc>
        <w:tc>
          <w:tcPr>
            <w:tcW w:type="dxa" w:w="29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Lista con 1 usuario válido</w:t>
            </w:r>
          </w:p>
        </w:tc>
        <w:tc>
          <w:tcPr>
            <w:tcW w:type="dxa" w:w="26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Se recupera el usuario con nombre, teléfono y correo intactos</w:t>
            </w:r>
          </w:p>
        </w:tc>
      </w:tr>
      <w:tr>
        <w:tc>
          <w:tcPr>
            <w:tcW w:type="dxa" w:w="12960"/>
            <w:gridSpan w:val="6"/>
            <w:shd w:fill="FFF2CC"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color w:val="1F3864"/>
                <w:sz w:val="18"/>
                <w:szCs w:val="18"/>
              </w:rPr>
              <w:t xml:space="preserve">Grupo B — Reglas de negocio del alta de libro (validación del formulario)</w:t>
            </w:r>
          </w:p>
        </w:tc>
      </w:tr>
      <w:tr>
        <w:tc>
          <w:tcPr>
            <w:tcW w:type="dxa" w:w="1200"/>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TC-19</w:t>
            </w:r>
          </w:p>
        </w:tc>
        <w:tc>
          <w:tcPr>
            <w:tcW w:type="dxa" w:w="22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Validación de alta de libro</w:t>
            </w:r>
          </w:p>
        </w:tc>
        <w:tc>
          <w:tcPr>
            <w:tcW w:type="dxa" w:w="29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Registro con todos los datos correctos</w:t>
            </w:r>
          </w:p>
        </w:tc>
        <w:tc>
          <w:tcPr>
            <w:tcW w:type="dxa" w:w="1040"/>
            <w:shd w:fill="D9EAD3"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Feliz</w:t>
            </w:r>
          </w:p>
        </w:tc>
        <w:tc>
          <w:tcPr>
            <w:tcW w:type="dxa" w:w="29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Título "El Quijote"; Autor "Cervantes"; Tipo "Novela"; Editorial "Planeta"; Existencias "5"; Año "1605"; Páginas "863"</w:t>
            </w:r>
          </w:p>
        </w:tc>
        <w:tc>
          <w:tcPr>
            <w:tcW w:type="dxa" w:w="26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Devuelve un objeto Libro no nulo con esos mismos valores</w:t>
            </w:r>
          </w:p>
        </w:tc>
      </w:tr>
      <w:tr>
        <w:tc>
          <w:tcPr>
            <w:tcW w:type="dxa" w:w="1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TC-20</w:t>
            </w:r>
          </w:p>
        </w:tc>
        <w:tc>
          <w:tcPr>
            <w:tcW w:type="dxa" w:w="2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Validación de alta de libro</w:t>
            </w:r>
          </w:p>
        </w:tc>
        <w:tc>
          <w:tcPr>
            <w:tcW w:type="dxa" w:w="29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Un campo obligatorio se deja vacío</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Título = "" y el resto de los campos correctos</w:t>
            </w:r>
          </w:p>
        </w:tc>
        <w:tc>
          <w:tcPr>
            <w:tcW w:type="dxa" w:w="26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Devuelve null y avisa "Todos los campos se deben de llenar"</w:t>
            </w:r>
          </w:p>
        </w:tc>
      </w:tr>
      <w:tr>
        <w:tc>
          <w:tcPr>
            <w:tcW w:type="dxa" w:w="1200"/>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TC-21</w:t>
            </w:r>
          </w:p>
        </w:tc>
        <w:tc>
          <w:tcPr>
            <w:tcW w:type="dxa" w:w="22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Validación de alta de libro</w:t>
            </w:r>
          </w:p>
        </w:tc>
        <w:tc>
          <w:tcPr>
            <w:tcW w:type="dxa" w:w="29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Se intenta registrar con el formulario completamente vacío</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Todos los campos en ""</w:t>
            </w:r>
          </w:p>
        </w:tc>
        <w:tc>
          <w:tcPr>
            <w:tcW w:type="dxa" w:w="26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Devuelve null y avisa "Todos los campos se deben de llenar"</w:t>
            </w:r>
          </w:p>
        </w:tc>
      </w:tr>
      <w:tr>
        <w:tc>
          <w:tcPr>
            <w:tcW w:type="dxa" w:w="1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TC-22</w:t>
            </w:r>
          </w:p>
        </w:tc>
        <w:tc>
          <w:tcPr>
            <w:tcW w:type="dxa" w:w="2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Validación de alta de libro</w:t>
            </w:r>
          </w:p>
        </w:tc>
        <w:tc>
          <w:tcPr>
            <w:tcW w:type="dxa" w:w="29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Campo lleno únicamente con espacios en blanco</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Título = "     "</w:t>
            </w:r>
          </w:p>
        </w:tc>
        <w:tc>
          <w:tcPr>
            <w:tcW w:type="dxa" w:w="26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Devuelve null: el trim() deja la cadena vacía y se aplica la regla de campo obligatorio</w:t>
            </w:r>
          </w:p>
        </w:tc>
      </w:tr>
      <w:tr>
        <w:tc>
          <w:tcPr>
            <w:tcW w:type="dxa" w:w="1200"/>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TC-23</w:t>
            </w:r>
          </w:p>
        </w:tc>
        <w:tc>
          <w:tcPr>
            <w:tcW w:type="dxa" w:w="22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Validación de alta de libro</w:t>
            </w:r>
          </w:p>
        </w:tc>
        <w:tc>
          <w:tcPr>
            <w:tcW w:type="dxa" w:w="29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Año de publicación con más de cuatro dígitos</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Año = "20255"</w:t>
            </w:r>
          </w:p>
        </w:tc>
        <w:tc>
          <w:tcPr>
            <w:tcW w:type="dxa" w:w="26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Devuelve null y avisa que el año no es válido</w:t>
            </w:r>
          </w:p>
        </w:tc>
      </w:tr>
      <w:tr>
        <w:tc>
          <w:tcPr>
            <w:tcW w:type="dxa" w:w="1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TC-24</w:t>
            </w:r>
          </w:p>
        </w:tc>
        <w:tc>
          <w:tcPr>
            <w:tcW w:type="dxa" w:w="2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Validación de alta de libro</w:t>
            </w:r>
          </w:p>
        </w:tc>
        <w:tc>
          <w:tcPr>
            <w:tcW w:type="dxa" w:w="29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Existencias capturadas como texto</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Existencias = "abc"</w:t>
            </w:r>
          </w:p>
        </w:tc>
        <w:tc>
          <w:tcPr>
            <w:tcW w:type="dxa" w:w="26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Devuelve null y avisa que debe ser numérico (NumberFormatException controlada)</w:t>
            </w:r>
          </w:p>
        </w:tc>
      </w:tr>
      <w:tr>
        <w:tc>
          <w:tcPr>
            <w:tcW w:type="dxa" w:w="1200"/>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TC-25</w:t>
            </w:r>
          </w:p>
        </w:tc>
        <w:tc>
          <w:tcPr>
            <w:tcW w:type="dxa" w:w="22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Validación de alta de libro</w:t>
            </w:r>
          </w:p>
        </w:tc>
        <w:tc>
          <w:tcPr>
            <w:tcW w:type="dxa" w:w="29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Número de páginas capturado como texto</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Páginas = "cien"</w:t>
            </w:r>
          </w:p>
        </w:tc>
        <w:tc>
          <w:tcPr>
            <w:tcW w:type="dxa" w:w="26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Devuelve null y avisa que debe ser numérico</w:t>
            </w:r>
          </w:p>
        </w:tc>
      </w:tr>
      <w:tr>
        <w:tc>
          <w:tcPr>
            <w:tcW w:type="dxa" w:w="1200"/>
            <w:shd w:fill="F4CCCC"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TC-26</w:t>
            </w:r>
          </w:p>
        </w:tc>
        <w:tc>
          <w:tcPr>
            <w:tcW w:type="dxa" w:w="2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Validación de alta de libro</w:t>
            </w:r>
          </w:p>
        </w:tc>
        <w:tc>
          <w:tcPr>
            <w:tcW w:type="dxa" w:w="29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Alta de un libro sin ejemplares disponibles</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Existencias = "0"</w:t>
            </w:r>
          </w:p>
        </w:tc>
        <w:tc>
          <w:tcPr>
            <w:tcW w:type="dxa" w:w="26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Por regla: null y aviso "No puedes registrar un libro si no hay existencias". Real: acepta el registro (D-06)</w:t>
            </w:r>
          </w:p>
        </w:tc>
      </w:tr>
      <w:tr>
        <w:tc>
          <w:tcPr>
            <w:tcW w:type="dxa" w:w="1200"/>
            <w:shd w:fill="F4CCCC"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TC-27</w:t>
            </w:r>
          </w:p>
        </w:tc>
        <w:tc>
          <w:tcPr>
            <w:tcW w:type="dxa" w:w="22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Validación de alta de libro</w:t>
            </w:r>
          </w:p>
        </w:tc>
        <w:tc>
          <w:tcPr>
            <w:tcW w:type="dxa" w:w="29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Existencias con valor negativo</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Existencias = "-5"</w:t>
            </w:r>
          </w:p>
        </w:tc>
        <w:tc>
          <w:tcPr>
            <w:tcW w:type="dxa" w:w="26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Por regla: null. Real: acepta el registro con existencias negativas (D-06)</w:t>
            </w:r>
          </w:p>
        </w:tc>
      </w:tr>
      <w:tr>
        <w:tc>
          <w:tcPr>
            <w:tcW w:type="dxa" w:w="1200"/>
            <w:shd w:fill="F4CCCC"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TC-28</w:t>
            </w:r>
          </w:p>
        </w:tc>
        <w:tc>
          <w:tcPr>
            <w:tcW w:type="dxa" w:w="2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Validación de alta de libro</w:t>
            </w:r>
          </w:p>
        </w:tc>
        <w:tc>
          <w:tcPr>
            <w:tcW w:type="dxa" w:w="29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Libro registrado con cero páginas</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Páginas = "0"</w:t>
            </w:r>
          </w:p>
        </w:tc>
        <w:tc>
          <w:tcPr>
            <w:tcW w:type="dxa" w:w="26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Por regla: null y aviso "Debe tener al menos una pagina el Libro". Real: acepta el registro (D-07)</w:t>
            </w:r>
          </w:p>
        </w:tc>
      </w:tr>
      <w:tr>
        <w:tc>
          <w:tcPr>
            <w:tcW w:type="dxa" w:w="1200"/>
            <w:shd w:fill="F4CCCC"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TC-29</w:t>
            </w:r>
          </w:p>
        </w:tc>
        <w:tc>
          <w:tcPr>
            <w:tcW w:type="dxa" w:w="22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Validación de alta de libro</w:t>
            </w:r>
          </w:p>
        </w:tc>
        <w:tc>
          <w:tcPr>
            <w:tcW w:type="dxa" w:w="29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Año de publicación en el futuro pero de cuatro dígitos</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Año = "9999"</w:t>
            </w:r>
          </w:p>
        </w:tc>
        <w:tc>
          <w:tcPr>
            <w:tcW w:type="dxa" w:w="26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Por regla: null y aviso de año inválido. Real: acepta el registro (D-08)</w:t>
            </w:r>
          </w:p>
        </w:tc>
      </w:tr>
      <w:tr>
        <w:tc>
          <w:tcPr>
            <w:tcW w:type="dxa" w:w="1200"/>
            <w:shd w:fill="F4CCCC"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TC-30</w:t>
            </w:r>
          </w:p>
        </w:tc>
        <w:tc>
          <w:tcPr>
            <w:tcW w:type="dxa" w:w="22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Validación de alta de libro</w:t>
            </w:r>
          </w:p>
        </w:tc>
        <w:tc>
          <w:tcPr>
            <w:tcW w:type="dxa" w:w="29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Coherencia entre disponibilidad y existencias al dar de alta</w:t>
            </w:r>
          </w:p>
        </w:tc>
        <w:tc>
          <w:tcPr>
            <w:tcW w:type="dxa" w:w="104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Excepción</w:t>
            </w:r>
          </w:p>
        </w:tc>
        <w:tc>
          <w:tcPr>
            <w:tcW w:type="dxa" w:w="29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Existencias = "0"</w:t>
            </w:r>
          </w:p>
        </w:tc>
        <w:tc>
          <w:tcPr>
            <w:tcW w:type="dxa" w:w="26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Por regla: el libro debe nacer con disponible = false. Real: se fija en true de forma incondicional (D-09)</w:t>
            </w:r>
          </w:p>
        </w:tc>
      </w:tr>
    </w:tbl>
    <w:p>
      <w:r>
        <w:br w:type="page"/>
      </w:r>
    </w:p>
    <w:p>
      <w:pPr>
        <w:pStyle w:val="Heading1"/>
        <w:spacing w:after="140" w:before="320"/>
      </w:pPr>
      <w:r>
        <w:rPr>
          <w:rFonts w:ascii="Calibri" w:cs="Calibri" w:eastAsia="Calibri" w:hAnsi="Calibri"/>
          <w:b/>
          <w:bCs/>
          <w:i w:val="false"/>
          <w:iCs w:val="false"/>
          <w:color w:val="1F3864"/>
          <w:sz w:val="28"/>
          <w:szCs w:val="28"/>
        </w:rPr>
        <w:t xml:space="preserve">4. Defectos detectados durante el diseño de las pruebas</w:t>
      </w:r>
    </w:p>
    <w:p>
      <w:pPr>
        <w:spacing w:after="130"/>
        <w:jc w:val="both"/>
      </w:pPr>
      <w:r>
        <w:rPr>
          <w:rFonts w:ascii="Calibri" w:cs="Calibri" w:eastAsia="Calibri" w:hAnsi="Calibri"/>
          <w:b w:val="false"/>
          <w:bCs w:val="false"/>
          <w:i w:val="false"/>
          <w:iCs w:val="false"/>
          <w:sz w:val="21"/>
          <w:szCs w:val="21"/>
        </w:rPr>
        <w:t xml:space="preserve">El ejercicio de identificar los caminos de excepción reveló que un grupo de validaciones del sistema están escritas de forma tal que nunca se ejecutan. En concreto, tres validaciones comprueban la longitud de la cadena capturada en lugar de su valor numérico; como la regla de campos obligatorios que se evalúa antes ya descarta las cadenas vacías, esas comprobaciones resultan inalcanzables y el sistema termina aceptando datos que sus propios mensajes de error dicen rechazar. La siguiente tabla concentra los diez defectos detectados.</w:t>
      </w:r>
    </w:p>
    <w:p>
      <w:pPr>
        <w:spacing w:after="120"/>
      </w:pPr>
    </w:p>
    <w:tbl>
      <w:tblPr>
        <w:tblW w:type="dxa" w:w="12960"/>
        <w:tblBorders>
          <w:top w:val="single" w:color="9AA5B1" w:sz="6"/>
          <w:left w:val="single" w:color="9AA5B1" w:sz="6"/>
          <w:bottom w:val="single" w:color="9AA5B1" w:sz="6"/>
          <w:right w:val="single" w:color="9AA5B1" w:sz="6"/>
          <w:insideH w:val="single" w:color="C7CDD4" w:sz="4"/>
          <w:insideV w:val="single" w:color="C7CDD4" w:sz="4"/>
        </w:tblBorders>
      </w:tblPr>
      <w:tblGrid>
        <w:gridCol w:w="900"/>
        <w:gridCol w:w="4560"/>
        <w:gridCol w:w="3000"/>
        <w:gridCol w:w="2000"/>
        <w:gridCol w:w="2500"/>
      </w:tblGrid>
      <w:tr>
        <w:trPr>
          <w:tblHeader/>
        </w:trPr>
        <w:tc>
          <w:tcPr>
            <w:tcW w:type="dxa" w:w="900"/>
            <w:shd w:fill="1F386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color w:val="FFFFFF"/>
                <w:sz w:val="18"/>
                <w:szCs w:val="18"/>
              </w:rPr>
              <w:t xml:space="preserve">ID</w:t>
            </w:r>
          </w:p>
        </w:tc>
        <w:tc>
          <w:tcPr>
            <w:tcW w:type="dxa" w:w="4560"/>
            <w:shd w:fill="1F386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color w:val="FFFFFF"/>
                <w:sz w:val="18"/>
                <w:szCs w:val="18"/>
              </w:rPr>
              <w:t xml:space="preserve">Descripción del defecto</w:t>
            </w:r>
          </w:p>
        </w:tc>
        <w:tc>
          <w:tcPr>
            <w:tcW w:type="dxa" w:w="3000"/>
            <w:shd w:fill="1F386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color w:val="FFFFFF"/>
                <w:sz w:val="18"/>
                <w:szCs w:val="18"/>
              </w:rPr>
              <w:t xml:space="preserve">Ubicación en el código</w:t>
            </w:r>
          </w:p>
        </w:tc>
        <w:tc>
          <w:tcPr>
            <w:tcW w:type="dxa" w:w="2000"/>
            <w:shd w:fill="1F386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color w:val="FFFFFF"/>
                <w:sz w:val="18"/>
                <w:szCs w:val="18"/>
              </w:rPr>
              <w:t xml:space="preserve">Caso que lo revela</w:t>
            </w:r>
          </w:p>
        </w:tc>
        <w:tc>
          <w:tcPr>
            <w:tcW w:type="dxa" w:w="2500"/>
            <w:shd w:fill="1F3864"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color w:val="FFFFFF"/>
                <w:sz w:val="18"/>
                <w:szCs w:val="18"/>
              </w:rPr>
              <w:t xml:space="preserve">Severidad</w:t>
            </w:r>
          </w:p>
        </w:tc>
      </w:tr>
      <w:tr>
        <w:tc>
          <w:tcPr>
            <w:tcW w:type="dxa" w:w="900"/>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D-01</w:t>
            </w:r>
          </w:p>
        </w:tc>
        <w:tc>
          <w:tcPr>
            <w:tcW w:type="dxa" w:w="45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El método setDisponible(boolean) ignora por completo el parámetro que recibe y decide la disponibilidad únicamente a partir de las existencias. Cualquier llamada que intente marcar un libro como no disponible queda sin efecto.</w:t>
            </w:r>
          </w:p>
        </w:tc>
        <w:tc>
          <w:tcPr>
            <w:tcW w:type="dxa" w:w="30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Libro.java, líneas 64-70</w:t>
            </w:r>
          </w:p>
        </w:tc>
        <w:tc>
          <w:tcPr>
            <w:tcW w:type="dxa" w:w="20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TC-04</w:t>
            </w:r>
          </w:p>
        </w:tc>
        <w:tc>
          <w:tcPr>
            <w:tcW w:type="dxa" w:w="250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Alta</w:t>
            </w:r>
          </w:p>
        </w:tc>
      </w:tr>
      <w:tr>
        <w:tc>
          <w:tcPr>
            <w:tcW w:type="dxa" w:w="9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D-02</w:t>
            </w:r>
          </w:p>
        </w:tc>
        <w:tc>
          <w:tcPr>
            <w:tcW w:type="dxa" w:w="45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La serialización a CSV concatena los campos con comas sin escapar el contenido. Un título o autor que contenga una coma genera una línea con más columnas de las esperadas, que después se descarta al leer.</w:t>
            </w:r>
          </w:p>
        </w:tc>
        <w:tc>
          <w:tcPr>
            <w:tcW w:type="dxa" w:w="30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Libro.java (toStringLibro) y LibroDao.java (cargarLibrosCSV)</w:t>
            </w:r>
          </w:p>
        </w:tc>
        <w:tc>
          <w:tcPr>
            <w:tcW w:type="dxa" w:w="20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TC-06, TC-16</w:t>
            </w:r>
          </w:p>
        </w:tc>
        <w:tc>
          <w:tcPr>
            <w:tcW w:type="dxa" w:w="250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Alta</w:t>
            </w:r>
          </w:p>
        </w:tc>
      </w:tr>
      <w:tr>
        <w:tc>
          <w:tcPr>
            <w:tcW w:type="dxa" w:w="900"/>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D-03</w:t>
            </w:r>
          </w:p>
        </w:tc>
        <w:tc>
          <w:tcPr>
            <w:tcW w:type="dxa" w:w="45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La clase expone dos getters distintos para el mismo atributo (getPublicacion y getAnoPublicacion), lo que duplica la interfaz pública y abre la puerta a inconsistencias.</w:t>
            </w:r>
          </w:p>
        </w:tc>
        <w:tc>
          <w:tcPr>
            <w:tcW w:type="dxa" w:w="30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Publicacion.java, líneas 56-65</w:t>
            </w:r>
          </w:p>
        </w:tc>
        <w:tc>
          <w:tcPr>
            <w:tcW w:type="dxa" w:w="20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TC-10</w:t>
            </w:r>
          </w:p>
        </w:tc>
        <w:tc>
          <w:tcPr>
            <w:tcW w:type="dxa" w:w="2500"/>
            <w:shd w:fill="D9EAD3"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Baja</w:t>
            </w:r>
          </w:p>
        </w:tc>
      </w:tr>
      <w:tr>
        <w:tc>
          <w:tcPr>
            <w:tcW w:type="dxa" w:w="9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D-04</w:t>
            </w:r>
          </w:p>
        </w:tc>
        <w:tc>
          <w:tcPr>
            <w:tcW w:type="dxa" w:w="45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Al cargar el CSV, toda línea cuyo número de columnas no sea exactamente nueve se descarta en silencio, sin registro ni aviso. Los datos se pierden sin que el usuario lo note.</w:t>
            </w:r>
          </w:p>
        </w:tc>
        <w:tc>
          <w:tcPr>
            <w:tcW w:type="dxa" w:w="30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LibroDao.java y UsuarioDao.java (carga de CSV)</w:t>
            </w:r>
          </w:p>
        </w:tc>
        <w:tc>
          <w:tcPr>
            <w:tcW w:type="dxa" w:w="20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TC-16</w:t>
            </w:r>
          </w:p>
        </w:tc>
        <w:tc>
          <w:tcPr>
            <w:tcW w:type="dxa" w:w="250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Alta</w:t>
            </w:r>
          </w:p>
        </w:tc>
      </w:tr>
      <w:tr>
        <w:tc>
          <w:tcPr>
            <w:tcW w:type="dxa" w:w="900"/>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D-05</w:t>
            </w:r>
          </w:p>
        </w:tc>
        <w:tc>
          <w:tcPr>
            <w:tcW w:type="dxa" w:w="45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La conversión de los campos numéricos del CSV no está protegida: un valor no numérico propaga una NumberFormatException que no se captura en ningún nivel y aborta la carga completa.</w:t>
            </w:r>
          </w:p>
        </w:tc>
        <w:tc>
          <w:tcPr>
            <w:tcW w:type="dxa" w:w="30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LibroDao.java y UsuarioDao.java (carga de CSV)</w:t>
            </w:r>
          </w:p>
        </w:tc>
        <w:tc>
          <w:tcPr>
            <w:tcW w:type="dxa" w:w="20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TC-17</w:t>
            </w:r>
          </w:p>
        </w:tc>
        <w:tc>
          <w:tcPr>
            <w:tcW w:type="dxa" w:w="2500"/>
            <w:shd w:fill="FFF2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Media</w:t>
            </w:r>
          </w:p>
        </w:tc>
      </w:tr>
      <w:tr>
        <w:tc>
          <w:tcPr>
            <w:tcW w:type="dxa" w:w="9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D-06</w:t>
            </w:r>
          </w:p>
        </w:tc>
        <w:tc>
          <w:tcPr>
            <w:tcW w:type="dxa" w:w="45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La validación de existencias comprueba la longitud del texto capturado en lugar de su valor numérico. Como la regla de campo obligatorio ya rechazó las cadenas vacías, esta comprobación nunca se cumple y acepta valores de cero o negativos.</w:t>
            </w:r>
          </w:p>
        </w:tc>
        <w:tc>
          <w:tcPr>
            <w:tcW w:type="dxa" w:w="30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GUILibro.java, líneas 80-83</w:t>
            </w:r>
          </w:p>
        </w:tc>
        <w:tc>
          <w:tcPr>
            <w:tcW w:type="dxa" w:w="20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TC-26, TC-27</w:t>
            </w:r>
          </w:p>
        </w:tc>
        <w:tc>
          <w:tcPr>
            <w:tcW w:type="dxa" w:w="250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Alta</w:t>
            </w:r>
          </w:p>
        </w:tc>
      </w:tr>
      <w:tr>
        <w:tc>
          <w:tcPr>
            <w:tcW w:type="dxa" w:w="900"/>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D-07</w:t>
            </w:r>
          </w:p>
        </w:tc>
        <w:tc>
          <w:tcPr>
            <w:tcW w:type="dxa" w:w="45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La validación del número de páginas repite el mismo error: mide la longitud del texto y no el valor, por lo que acepta libros con cero páginas.</w:t>
            </w:r>
          </w:p>
        </w:tc>
        <w:tc>
          <w:tcPr>
            <w:tcW w:type="dxa" w:w="30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GUILibro.java, líneas 92-95</w:t>
            </w:r>
          </w:p>
        </w:tc>
        <w:tc>
          <w:tcPr>
            <w:tcW w:type="dxa" w:w="20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TC-28</w:t>
            </w:r>
          </w:p>
        </w:tc>
        <w:tc>
          <w:tcPr>
            <w:tcW w:type="dxa" w:w="2500"/>
            <w:shd w:fill="FFF2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Media</w:t>
            </w:r>
          </w:p>
        </w:tc>
      </w:tr>
      <w:tr>
        <w:tc>
          <w:tcPr>
            <w:tcW w:type="dxa" w:w="9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D-08</w:t>
            </w:r>
          </w:p>
        </w:tc>
        <w:tc>
          <w:tcPr>
            <w:tcW w:type="dxa" w:w="45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La validación del año de publicación solo limita la cantidad de dígitos a cuatro, no compara contra el año actual. Un año como 9999 se acepta pese a que el mensaje anuncia que no se admiten libros del futuro.</w:t>
            </w:r>
          </w:p>
        </w:tc>
        <w:tc>
          <w:tcPr>
            <w:tcW w:type="dxa" w:w="30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GUILibro.java, líneas 84-87</w:t>
            </w:r>
          </w:p>
        </w:tc>
        <w:tc>
          <w:tcPr>
            <w:tcW w:type="dxa" w:w="20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TC-29</w:t>
            </w:r>
          </w:p>
        </w:tc>
        <w:tc>
          <w:tcPr>
            <w:tcW w:type="dxa" w:w="2500"/>
            <w:shd w:fill="FFF2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Media</w:t>
            </w:r>
          </w:p>
        </w:tc>
      </w:tr>
      <w:tr>
        <w:tc>
          <w:tcPr>
            <w:tcW w:type="dxa" w:w="900"/>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D-09</w:t>
            </w:r>
          </w:p>
        </w:tc>
        <w:tc>
          <w:tcPr>
            <w:tcW w:type="dxa" w:w="456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Al construir el libro, el atributo disponible se fija en true de forma incondicional, sin considerar las existencias capturadas. Un libro con cero ejemplares nace marcado como disponible.</w:t>
            </w:r>
          </w:p>
        </w:tc>
        <w:tc>
          <w:tcPr>
            <w:tcW w:type="dxa" w:w="30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GUILibro.java, línea 100</w:t>
            </w:r>
          </w:p>
        </w:tc>
        <w:tc>
          <w:tcPr>
            <w:tcW w:type="dxa" w:w="2000"/>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TC-30</w:t>
            </w:r>
          </w:p>
        </w:tc>
        <w:tc>
          <w:tcPr>
            <w:tcW w:type="dxa" w:w="2500"/>
            <w:shd w:fill="F4CCCC"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Alta</w:t>
            </w:r>
          </w:p>
        </w:tc>
      </w:tr>
      <w:tr>
        <w:tc>
          <w:tcPr>
            <w:tcW w:type="dxa" w:w="9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bCs/>
                <w:i w:val="false"/>
                <w:iCs w:val="false"/>
                <w:sz w:val="18"/>
                <w:szCs w:val="18"/>
              </w:rPr>
              <w:t xml:space="preserve">D-10</w:t>
            </w:r>
          </w:p>
        </w:tc>
        <w:tc>
          <w:tcPr>
            <w:tcW w:type="dxa" w:w="456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Existe una condición inalcanzable que evalúa si la longitud de una cadena es menor que cero, lo cual es imposible por definición. Es código muerto que aparenta una validación inexistente.</w:t>
            </w:r>
          </w:p>
        </w:tc>
        <w:tc>
          <w:tcPr>
            <w:tcW w:type="dxa" w:w="30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GUILibro.java, líneas 88-91</w:t>
            </w:r>
          </w:p>
        </w:tc>
        <w:tc>
          <w:tcPr>
            <w:tcW w:type="dxa" w:w="2000"/>
            <w:shd w:fill="F2F2F2" w:color="auto" w:val="clear"/>
            <w:tcMar>
              <w:top w:type="dxa" w:w="60"/>
              <w:left w:type="dxa" w:w="90"/>
              <w:bottom w:type="dxa" w:w="60"/>
              <w:right w:type="dxa" w:w="90"/>
            </w:tcMar>
            <w:vAlign w:val="center"/>
          </w:tcPr>
          <w:p>
            <w:pPr>
              <w:spacing w:after="40" w:before="0"/>
              <w:jc w:val="left"/>
            </w:pPr>
            <w:r>
              <w:rPr>
                <w:rFonts w:ascii="Calibri" w:cs="Calibri" w:eastAsia="Calibri" w:hAnsi="Calibri"/>
                <w:b w:val="false"/>
                <w:bCs w:val="false"/>
                <w:i w:val="false"/>
                <w:iCs w:val="false"/>
                <w:sz w:val="18"/>
                <w:szCs w:val="18"/>
              </w:rPr>
              <w:t xml:space="preserve">Inspección estática</w:t>
            </w:r>
          </w:p>
        </w:tc>
        <w:tc>
          <w:tcPr>
            <w:tcW w:type="dxa" w:w="2500"/>
            <w:shd w:fill="D9EAD3" w:color="auto" w:val="clear"/>
            <w:tcMar>
              <w:top w:type="dxa" w:w="60"/>
              <w:left w:type="dxa" w:w="90"/>
              <w:bottom w:type="dxa" w:w="60"/>
              <w:right w:type="dxa" w:w="90"/>
            </w:tcMar>
            <w:vAlign w:val="center"/>
          </w:tcPr>
          <w:p>
            <w:pPr>
              <w:spacing w:after="40" w:before="0"/>
              <w:jc w:val="center"/>
            </w:pPr>
            <w:r>
              <w:rPr>
                <w:rFonts w:ascii="Calibri" w:cs="Calibri" w:eastAsia="Calibri" w:hAnsi="Calibri"/>
                <w:b/>
                <w:bCs/>
                <w:i w:val="false"/>
                <w:iCs w:val="false"/>
                <w:sz w:val="18"/>
                <w:szCs w:val="18"/>
              </w:rPr>
              <w:t xml:space="preserve">Baja</w:t>
            </w:r>
          </w:p>
        </w:tc>
      </w:tr>
    </w:tbl>
    <w:p>
      <w:r>
        <w:br w:type="page"/>
      </w:r>
    </w:p>
    <w:p>
      <w:pPr>
        <w:pStyle w:val="Heading1"/>
        <w:spacing w:after="140" w:before="320"/>
      </w:pPr>
      <w:r>
        <w:rPr>
          <w:rFonts w:ascii="Calibri" w:cs="Calibri" w:eastAsia="Calibri" w:hAnsi="Calibri"/>
          <w:b/>
          <w:bCs/>
          <w:i w:val="false"/>
          <w:iCs w:val="false"/>
          <w:color w:val="1F3864"/>
          <w:sz w:val="28"/>
          <w:szCs w:val="28"/>
        </w:rPr>
        <w:t xml:space="preserve">5. Consideración técnica previa a la implementación</w:t>
      </w:r>
    </w:p>
    <w:p>
      <w:pPr>
        <w:spacing w:after="130"/>
        <w:jc w:val="both"/>
      </w:pPr>
      <w:r>
        <w:rPr>
          <w:rFonts w:ascii="Calibri" w:cs="Calibri" w:eastAsia="Calibri" w:hAnsi="Calibri"/>
          <w:b w:val="false"/>
          <w:bCs w:val="false"/>
          <w:i w:val="false"/>
          <w:iCs w:val="false"/>
          <w:sz w:val="21"/>
          <w:szCs w:val="21"/>
        </w:rPr>
        <w:t xml:space="preserve">Los casos del Grupo A pueden implementarse de inmediato, porque operan sobre clases de negocio y sobre archivos, sin dependencias de interfaz gráfica ni de base de datos. Los casos del Grupo B, en cambio, enfrentan un obstáculo de testabilidad que conviene documentar porque constituye en sí mismo un hallazgo de calidad.</w:t>
      </w:r>
    </w:p>
    <w:p>
      <w:pPr>
        <w:spacing w:after="130"/>
        <w:jc w:val="both"/>
      </w:pPr>
      <w:r>
        <w:rPr>
          <w:rFonts w:ascii="Calibri" w:cs="Calibri" w:eastAsia="Calibri" w:hAnsi="Calibri"/>
          <w:b w:val="false"/>
          <w:bCs w:val="false"/>
          <w:i w:val="false"/>
          <w:iCs w:val="false"/>
          <w:sz w:val="21"/>
          <w:szCs w:val="21"/>
        </w:rPr>
        <w:t xml:space="preserve">La lógica de validación del alta de libro reside en el método guardarenlista de la clase GUILibro. Ese método es privado, lee sus datos directamente de los componentes Swing del formulario y comunica los errores mediante cuadros de diálogo JOptionPane. Esta combinación lo vuelve imposible de probar de forma automatizada: las pruebas no pueden invocarlo por su visibilidad, y aun sorteando esa barrera, cada cuadro de diálogo quedaría esperando indefinidamente un clic humano que en una ejecución automatizada nunca llega, dejando la suite colgada.</w:t>
      </w:r>
    </w:p>
    <w:p>
      <w:pPr>
        <w:spacing w:after="130"/>
        <w:jc w:val="both"/>
      </w:pPr>
      <w:r>
        <w:rPr>
          <w:rFonts w:ascii="Calibri" w:cs="Calibri" w:eastAsia="Calibri" w:hAnsi="Calibri"/>
          <w:b w:val="false"/>
          <w:bCs w:val="false"/>
          <w:i w:val="false"/>
          <w:iCs w:val="false"/>
          <w:sz w:val="21"/>
          <w:szCs w:val="21"/>
        </w:rPr>
        <w:t xml:space="preserve">La solución recomendada es extraer la lógica de validación hacia una clase independiente, por ejemplo ValidadorLibro, que reciba los siete valores capturados como cadenas de texto y devuelva un resultado con el objeto Libro construido o con la lista de errores encontrados. La ventana conservaría entonces una única responsabilidad, la de mostrar al usuario los errores que el validador reporta. Esta separación no solo habilita las pruebas del Grupo B, sino que corrige el acoplamiento entre presentación y reglas de negocio, y constituye precisamente el tipo de mejora que justifica la diferencia entre el diagrama UML inicial y el diagrama UML mejorado que solicita la entrega final del proyecto.</w:t>
      </w:r>
    </w:p>
    <w:p>
      <w:pPr>
        <w:pStyle w:val="Heading1"/>
        <w:spacing w:after="140" w:before="320"/>
      </w:pPr>
      <w:r>
        <w:rPr>
          <w:rFonts w:ascii="Calibri" w:cs="Calibri" w:eastAsia="Calibri" w:hAnsi="Calibri"/>
          <w:b/>
          <w:bCs/>
          <w:i w:val="false"/>
          <w:iCs w:val="false"/>
          <w:color w:val="1F3864"/>
          <w:sz w:val="28"/>
          <w:szCs w:val="28"/>
        </w:rPr>
        <w:t xml:space="preserve">6. Siguientes pasos</w:t>
      </w:r>
    </w:p>
    <w:p>
      <w:pPr>
        <w:spacing w:after="130"/>
        <w:jc w:val="both"/>
      </w:pPr>
      <w:r>
        <w:rPr>
          <w:rFonts w:ascii="Calibri" w:cs="Calibri" w:eastAsia="Calibri" w:hAnsi="Calibri"/>
          <w:b w:val="false"/>
          <w:bCs w:val="false"/>
          <w:i w:val="false"/>
          <w:iCs w:val="false"/>
          <w:sz w:val="21"/>
          <w:szCs w:val="21"/>
        </w:rPr>
        <w:t xml:space="preserve">Con la matriz aprobada, el trabajo continúa con la extracción de la clase validadora descrita en la sección anterior, la implementación de los treinta casos como pruebas JUnit, la ejecución de la suite completa para obtener la bitácora en verde y, sobre esa base, la medición de la cobertura de código que solicita la tercera etapa del proyecto.</w:t>
      </w:r>
    </w:p>
    <w:sectPr>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Matriz de casos de prueba - Sistema Biblioteca</dc:title>
  <dc:creator>Universidad Veracruzana - LSCA</dc:creator>
  <cp:lastModifiedBy>Un-named</cp:lastModifiedBy>
  <cp:revision>1</cp:revision>
  <dcterms:created xsi:type="dcterms:W3CDTF">2026-08-03T06:40:42.564Z</dcterms:created>
  <dcterms:modified xsi:type="dcterms:W3CDTF">2026-08-03T06:40:42.564Z</dcterms:modified>
</cp:coreProperties>
</file>

<file path=docProps/custom.xml><?xml version="1.0" encoding="utf-8"?>
<Properties xmlns="http://schemas.openxmlformats.org/officeDocument/2006/custom-properties" xmlns:vt="http://schemas.openxmlformats.org/officeDocument/2006/docPropsVTypes"/>
</file>