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rFonts w:ascii="Calibri" w:cs="Calibri" w:eastAsia="Calibri" w:hAnsi="Calibri"/>
        </w:rPr>
        <w:t xml:space="preserve"/>
      </w:r>
    </w:p>
    <w:p>
      <w:pPr>
        <w:spacing w:after="60"/>
        <w:jc w:val="center"/>
      </w:pPr>
      <w:r>
        <w:rPr>
          <w:rFonts w:ascii="Calibri" w:cs="Calibri" w:eastAsia="Calibri" w:hAnsi="Calibri"/>
          <w:b/>
          <w:bCs/>
          <w:color w:val="1F3864"/>
          <w:sz w:val="26"/>
          <w:szCs w:val="26"/>
        </w:rPr>
        <w:t xml:space="preserve">Universidad Veracruzana</w:t>
      </w:r>
    </w:p>
    <w:p>
      <w:pPr>
        <w:spacing w:after="40"/>
        <w:jc w:val="center"/>
      </w:pPr>
      <w:r>
        <w:rPr>
          <w:rFonts w:ascii="Calibri" w:cs="Calibri" w:eastAsia="Calibri" w:hAnsi="Calibri"/>
          <w:sz w:val="22"/>
          <w:szCs w:val="22"/>
        </w:rPr>
        <w:t xml:space="preserve">Facultad de Contaduría y Administración</w:t>
      </w:r>
    </w:p>
    <w:p>
      <w:pPr>
        <w:spacing w:after="40"/>
        <w:jc w:val="center"/>
      </w:pPr>
      <w:r>
        <w:rPr>
          <w:rFonts w:ascii="Calibri" w:cs="Calibri" w:eastAsia="Calibri" w:hAnsi="Calibri"/>
          <w:sz w:val="22"/>
          <w:szCs w:val="22"/>
        </w:rPr>
        <w:t xml:space="preserve">Licenciatura en Sistemas Computacionales Administrativos</w:t>
      </w:r>
    </w:p>
    <w:p>
      <w:pPr>
        <w:spacing w:after="700"/>
        <w:jc w:val="center"/>
      </w:pPr>
      <w:r>
        <w:rPr>
          <w:rFonts w:ascii="Calibri" w:cs="Calibri" w:eastAsia="Calibri" w:hAnsi="Calibri"/>
          <w:i/>
          <w:iCs/>
          <w:sz w:val="22"/>
          <w:szCs w:val="22"/>
        </w:rPr>
        <w:t xml:space="preserve">Experiencia Educativa: Ingeniería de Software</w:t>
      </w:r>
    </w:p>
    <w:p>
      <w:pPr>
        <w:spacing w:after="80"/>
        <w:jc w:val="center"/>
      </w:pPr>
      <w:r>
        <w:rPr>
          <w:rFonts w:ascii="Calibri" w:cs="Calibri" w:eastAsia="Calibri" w:hAnsi="Calibri"/>
          <w:color w:val="666666"/>
          <w:sz w:val="24"/>
          <w:szCs w:val="24"/>
        </w:rPr>
        <w:t xml:space="preserve">Tercera etapa</w:t>
      </w:r>
    </w:p>
    <w:p>
      <w:pPr>
        <w:spacing w:after="120"/>
        <w:jc w:val="center"/>
      </w:pPr>
      <w:r>
        <w:rPr>
          <w:rFonts w:ascii="Calibri" w:cs="Calibri" w:eastAsia="Calibri" w:hAnsi="Calibri"/>
          <w:b/>
          <w:bCs/>
          <w:color w:val="1F3864"/>
          <w:sz w:val="40"/>
          <w:szCs w:val="40"/>
        </w:rPr>
        <w:t xml:space="preserve">Medición y métricas del software</w:t>
      </w:r>
    </w:p>
    <w:p>
      <w:pPr>
        <w:spacing w:after="700"/>
        <w:jc w:val="center"/>
      </w:pPr>
      <w:r>
        <w:rPr>
          <w:rFonts w:ascii="Calibri" w:cs="Calibri" w:eastAsia="Calibri" w:hAnsi="Calibri"/>
          <w:i/>
          <w:iCs/>
          <w:sz w:val="24"/>
          <w:szCs w:val="24"/>
        </w:rPr>
        <w:t xml:space="preserve">Sistema auditado: BibliotecaIngeSoftware</w:t>
      </w:r>
    </w:p>
    <w:p>
      <w:pPr>
        <w:spacing w:after="40"/>
        <w:jc w:val="center"/>
      </w:pPr>
      <w:r>
        <w:rPr>
          <w:rFonts w:ascii="Calibri" w:cs="Calibri" w:eastAsia="Calibri" w:hAnsi="Calibri"/>
          <w:sz w:val="21"/>
          <w:szCs w:val="21"/>
        </w:rPr>
        <w:t xml:space="preserve">Proyecto: Aseguramiento de calidad de un software existente</w:t>
      </w:r>
    </w:p>
    <w:p>
      <w:pPr>
        <w:spacing w:after="40"/>
        <w:jc w:val="center"/>
      </w:pPr>
      <w:r>
        <w:rPr>
          <w:rFonts w:ascii="Calibri" w:cs="Calibri" w:eastAsia="Calibri" w:hAnsi="Calibri"/>
          <w:color w:val="1155CC"/>
          <w:sz w:val="20"/>
          <w:szCs w:val="20"/>
        </w:rPr>
        <w:t xml:space="preserve">Repositorio: github.com/yaelink7/Proyecto-Biblioteca-IngenieriaSoftware</w:t>
      </w:r>
    </w:p>
    <w:p>
      <w:pPr>
        <w:spacing w:after="40"/>
        <w:jc w:val="center"/>
      </w:pPr>
      <w:r>
        <w:rPr>
          <w:rFonts w:ascii="Calibri" w:cs="Calibri" w:eastAsia="Calibri" w:hAnsi="Calibri"/>
          <w:sz w:val="21"/>
          <w:szCs w:val="21"/>
        </w:rPr>
        <w:t xml:space="preserve">Agosto de 2026</w:t>
      </w:r>
    </w:p>
    <w:p>
      <w:r>
        <w:br w:type="page"/>
      </w:r>
    </w:p>
    <w:p>
      <w:pPr>
        <w:pStyle w:val="Heading1"/>
        <w:spacing w:after="140" w:before="280"/>
      </w:pPr>
      <w:r>
        <w:rPr>
          <w:rFonts w:ascii="Calibri" w:cs="Calibri" w:eastAsia="Calibri" w:hAnsi="Calibri"/>
          <w:b/>
          <w:bCs/>
          <w:color w:val="1F3864"/>
          <w:sz w:val="30"/>
          <w:szCs w:val="30"/>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864"/>
          <w:sz w:val="30"/>
          <w:szCs w:val="30"/>
        </w:rPr>
        <w:t xml:space="preserve">1. Introducción</w:t>
      </w:r>
    </w:p>
    <w:p>
      <w:pPr>
        <w:spacing w:after="120" w:before="0" w:line="276"/>
      </w:pPr>
      <w:r>
        <w:rPr>
          <w:rFonts w:ascii="Calibri" w:cs="Calibri" w:eastAsia="Calibri" w:hAnsi="Calibri"/>
          <w:sz w:val="22"/>
          <w:szCs w:val="22"/>
        </w:rPr>
        <w:t xml:space="preserve">Este documento corresponde a la tercera etapa del proyecto de aseguramiento de calidad, cuyo objetivo es medir y documentar cuantitativamente el sistema BibliotecaIngeSoftware, una aplicación de escritorio en Java Swing con persistencia en MySQL y respaldo en archivos CSV, destinada a la administración de una biblioteca: catálogo de libros, padrón de usuarios, plantilla de empleados y control de préstamos.</w:t>
      </w:r>
    </w:p>
    <w:p>
      <w:pPr>
        <w:spacing w:after="120" w:before="0" w:line="276"/>
      </w:pPr>
      <w:r>
        <w:rPr>
          <w:rFonts w:ascii="Calibri" w:cs="Calibri" w:eastAsia="Calibri" w:hAnsi="Calibri"/>
          <w:sz w:val="22"/>
          <w:szCs w:val="22"/>
        </w:rPr>
        <w:t xml:space="preserve">Se aplicaron las tres familias de métricas que solicita la especificación del proyecto. Primero, una métrica orientada al tamaño, mediante el conteo de líneas de código efectivas y la densidad de comentarios frente a las líneas de lógica técnica. Segundo, una métrica de calidad, mediante el porcentaje de cobertura de código alcanzado por la suite de pruebas JUnit. Tercero, una métrica de función, mediante la matriz de conteo de puntos de función identificando entradas externas, salidas externas, consultas externas, archivos lógicos internos y archivos de interfaz externa.</w:t>
      </w:r>
    </w:p>
    <w:p>
      <w:pPr>
        <w:spacing w:after="120" w:before="0" w:line="276"/>
      </w:pPr>
      <w:r>
        <w:rPr>
          <w:rFonts w:ascii="Calibri" w:cs="Calibri" w:eastAsia="Calibri" w:hAnsi="Calibri"/>
          <w:sz w:val="22"/>
          <w:szCs w:val="22"/>
        </w:rPr>
        <w:t xml:space="preserve">Adicionalmente se incorpora una sección con métricas de diseño orientado a objetos (complejidad ponderada por clase y acoplamiento entre objetos) que, si bien no son obligatorias, ya habían sido medidas durante el proyecto y aportan evidencia complementaria al análisis crítico.</w:t>
      </w:r>
    </w:p>
    <w:p>
      <w:pPr>
        <w:pStyle w:val="Heading2"/>
        <w:spacing w:after="140" w:before="280"/>
      </w:pPr>
      <w:r>
        <w:rPr>
          <w:rFonts w:ascii="Calibri" w:cs="Calibri" w:eastAsia="Calibri" w:hAnsi="Calibri"/>
          <w:b/>
          <w:bCs/>
          <w:color w:val="1F3864"/>
          <w:sz w:val="25"/>
          <w:szCs w:val="25"/>
        </w:rPr>
        <w:t xml:space="preserve">1.1 Herramientas de medición utilizadas</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180"/>
      </w:tblGrid>
      <w:tr>
        <w:trPr>
          <w:tblHeader/>
        </w:trPr>
        <w:tc>
          <w:tcPr>
            <w:tcW w:type="dxa" w:w="26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Métrica</w:t>
            </w:r>
          </w:p>
        </w:tc>
        <w:tc>
          <w:tcPr>
            <w:tcW w:type="dxa" w:w="2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Herramienta</w:t>
            </w:r>
          </w:p>
        </w:tc>
        <w:tc>
          <w:tcPr>
            <w:tcW w:type="dxa" w:w="41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Forma de ejecución</w:t>
            </w:r>
          </w:p>
        </w:tc>
      </w:tr>
      <w:tr>
        <w:tc>
          <w:tcPr>
            <w:tcW w:type="dxa" w:w="2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Tamaño (LOC y comentarios)</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cloc 1.98</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Análisis sobre src/ y test/ del repositorio</w:t>
            </w:r>
          </w:p>
        </w:tc>
      </w:tr>
      <w:tr>
        <w:tc>
          <w:tcPr>
            <w:tcW w:type="dxa" w:w="2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Cobertura de código</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JaCoCo 0.8.x</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Target medir-cobertura de build.xml sobre la suite JUnit</w:t>
            </w:r>
          </w:p>
        </w:tc>
      </w:tr>
      <w:tr>
        <w:tc>
          <w:tcPr>
            <w:tcW w:type="dxa" w:w="2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Puntos de función</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Conteo manual (IFPUG)</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Análisis de la arquitectura: formularios, DAO y esquema de datos</w:t>
            </w:r>
          </w:p>
        </w:tc>
      </w:tr>
      <w:tr>
        <w:tc>
          <w:tcPr>
            <w:tcW w:type="dxa" w:w="2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Complejidad y acoplamiento</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PMD 7.26.0</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Targets analizar-complejidad y analizar-metricas-clase</w:t>
            </w:r>
          </w:p>
        </w:tc>
      </w:tr>
    </w:tbl>
    <w:p>
      <w:pPr>
        <w:spacing w:after="180"/>
      </w:pPr>
      <w:r>
        <w:rPr>
          <w:rFonts w:ascii="Calibri" w:cs="Calibri" w:eastAsia="Calibri" w:hAnsi="Calibri"/>
        </w:rPr>
        <w:t xml:space="preserve"/>
      </w:r>
    </w:p>
    <w:p>
      <w:pPr>
        <w:spacing w:after="120" w:before="0" w:line="276"/>
      </w:pPr>
      <w:r>
        <w:rPr>
          <w:rFonts w:ascii="Calibri" w:cs="Calibri" w:eastAsia="Calibri" w:hAnsi="Calibri"/>
          <w:i/>
          <w:iCs/>
          <w:sz w:val="20"/>
          <w:szCs w:val="20"/>
        </w:rPr>
        <w:t xml:space="preserve">Las tres primeras métricas se obtuvieron sobre el estado actual del sistema, que incluye las 70 pruebas JUnit desarrolladas en la segunda etapa y la interfaz de consola AltaLibroConsola creada para la prueba de caja negra.</w:t>
      </w:r>
    </w:p>
    <w:p>
      <w:r>
        <w:br w:type="page"/>
      </w:r>
    </w:p>
    <w:p>
      <w:pPr>
        <w:pStyle w:val="Heading1"/>
        <w:spacing w:after="140" w:before="280"/>
      </w:pPr>
      <w:r>
        <w:rPr>
          <w:rFonts w:ascii="Calibri" w:cs="Calibri" w:eastAsia="Calibri" w:hAnsi="Calibri"/>
          <w:b/>
          <w:bCs/>
          <w:color w:val="1F3864"/>
          <w:sz w:val="30"/>
          <w:szCs w:val="30"/>
        </w:rPr>
        <w:t xml:space="preserve">2. Métrica orientada al tamaño: LOC efectivas y densidad de comentarios</w:t>
      </w:r>
    </w:p>
    <w:p>
      <w:pPr>
        <w:spacing w:after="120" w:before="0" w:line="276"/>
      </w:pPr>
      <w:r>
        <w:rPr>
          <w:rFonts w:ascii="Calibri" w:cs="Calibri" w:eastAsia="Calibri" w:hAnsi="Calibri"/>
          <w:sz w:val="22"/>
          <w:szCs w:val="22"/>
        </w:rPr>
        <w:t xml:space="preserve">Se contabilizaron las líneas de código efectivas, es decir, las líneas que contienen lógica técnica, excluyendo líneas en blanco y comentarios. La densidad de comentarios se calcula como el cociente entre líneas de comentario y líneas de código efectivas.</w:t>
      </w:r>
    </w:p>
    <w:p>
      <w:pPr>
        <w:pStyle w:val="Heading2"/>
        <w:spacing w:after="140" w:before="280"/>
      </w:pPr>
      <w:r>
        <w:rPr>
          <w:rFonts w:ascii="Calibri" w:cs="Calibri" w:eastAsia="Calibri" w:hAnsi="Calibri"/>
          <w:b/>
          <w:bCs/>
          <w:color w:val="1F3864"/>
          <w:sz w:val="25"/>
          <w:szCs w:val="25"/>
        </w:rPr>
        <w:t xml:space="preserve">2.1 Matriz de conteo de líneas</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1750"/>
        <w:gridCol w:w="1750"/>
        <w:gridCol w:w="1680"/>
      </w:tblGrid>
      <w:tr>
        <w:trPr>
          <w:tblHeader/>
        </w:trPr>
        <w:tc>
          <w:tcPr>
            <w:tcW w:type="dxa" w:w="25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Paquete</w:t>
            </w:r>
          </w:p>
        </w:tc>
        <w:tc>
          <w:tcPr>
            <w:tcW w:type="dxa" w:w="20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LOC efectivas</w:t>
            </w:r>
          </w:p>
        </w:tc>
        <w:tc>
          <w:tcPr>
            <w:tcW w:type="dxa" w:w="175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Comentarios</w:t>
            </w:r>
          </w:p>
        </w:tc>
        <w:tc>
          <w:tcPr>
            <w:tcW w:type="dxa" w:w="175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Líneas en blanco</w:t>
            </w:r>
          </w:p>
        </w:tc>
        <w:tc>
          <w:tcPr>
            <w:tcW w:type="dxa" w:w="16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Densidad</w:t>
            </w:r>
          </w:p>
        </w:tc>
      </w:tr>
      <w:tr>
        <w:tc>
          <w:tcPr>
            <w:tcW w:type="dxa" w:w="25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ClasesBiblia (modelo de negocio)</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252</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20</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83</w:t>
            </w:r>
          </w:p>
        </w:tc>
        <w:tc>
          <w:tcPr>
            <w:tcW w:type="dxa" w:w="16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7.94 %</w:t>
            </w:r>
          </w:p>
        </w:tc>
      </w:tr>
      <w:tr>
        <w:tc>
          <w:tcPr>
            <w:tcW w:type="dxa" w:w="25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 (persistencia)</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606</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35</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105</w:t>
            </w:r>
          </w:p>
        </w:tc>
        <w:tc>
          <w:tcPr>
            <w:tcW w:type="dxa" w:w="16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5.78 %</w:t>
            </w:r>
          </w:p>
        </w:tc>
      </w:tr>
      <w:tr>
        <w:tc>
          <w:tcPr>
            <w:tcW w:type="dxa" w:w="25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GUIBiblia (interfaz Swing)</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3 005</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322</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373</w:t>
            </w:r>
          </w:p>
        </w:tc>
        <w:tc>
          <w:tcPr>
            <w:tcW w:type="dxa" w:w="16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10.72 %</w:t>
            </w:r>
          </w:p>
        </w:tc>
      </w:tr>
      <w:tr>
        <w:tc>
          <w:tcPr>
            <w:tcW w:type="dxa" w:w="25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ConsolaBiblia (interfaz de consola)</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84</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w:t>
            </w:r>
          </w:p>
        </w:tc>
        <w:tc>
          <w:tcPr>
            <w:tcW w:type="dxa" w:w="175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12</w:t>
            </w:r>
          </w:p>
        </w:tc>
        <w:tc>
          <w:tcPr>
            <w:tcW w:type="dxa" w:w="16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0.00 %</w:t>
            </w:r>
          </w:p>
        </w:tc>
      </w:tr>
      <w:tr>
        <w:tc>
          <w:tcPr>
            <w:tcW w:type="dxa" w:w="25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TOTAL código de producción</w:t>
            </w:r>
          </w:p>
        </w:tc>
        <w:tc>
          <w:tcPr>
            <w:tcW w:type="dxa" w:w="20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3 947</w:t>
            </w:r>
          </w:p>
        </w:tc>
        <w:tc>
          <w:tcPr>
            <w:tcW w:type="dxa" w:w="175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377</w:t>
            </w:r>
          </w:p>
        </w:tc>
        <w:tc>
          <w:tcPr>
            <w:tcW w:type="dxa" w:w="175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573</w:t>
            </w:r>
          </w:p>
        </w:tc>
        <w:tc>
          <w:tcPr>
            <w:tcW w:type="dxa" w:w="16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9.55 %</w:t>
            </w:r>
          </w:p>
        </w:tc>
      </w:tr>
      <w:tr>
        <w:tc>
          <w:tcPr>
            <w:tcW w:type="dxa" w:w="2500"/>
            <w:shd w:fill="F2F2F2"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TOTAL código de pruebas</w:t>
            </w:r>
          </w:p>
        </w:tc>
        <w:tc>
          <w:tcPr>
            <w:tcW w:type="dxa" w:w="2000"/>
            <w:shd w:fill="F2F2F2"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783</w:t>
            </w:r>
          </w:p>
        </w:tc>
        <w:tc>
          <w:tcPr>
            <w:tcW w:type="dxa" w:w="1750"/>
            <w:shd w:fill="F2F2F2"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40</w:t>
            </w:r>
          </w:p>
        </w:tc>
        <w:tc>
          <w:tcPr>
            <w:tcW w:type="dxa" w:w="1750"/>
            <w:shd w:fill="F2F2F2"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199</w:t>
            </w:r>
          </w:p>
        </w:tc>
        <w:tc>
          <w:tcPr>
            <w:tcW w:type="dxa" w:w="1680"/>
            <w:shd w:fill="F2F2F2"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5.11 %</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2.2 Distribución del tamaño por paquete</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80"/>
      </w:tblGrid>
      <w:tr>
        <w:trPr>
          <w:tblHeader/>
        </w:trPr>
        <w:tc>
          <w:tcPr>
            <w:tcW w:type="dxa" w:w="36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Paquete</w:t>
            </w:r>
          </w:p>
        </w:tc>
        <w:tc>
          <w:tcPr>
            <w:tcW w:type="dxa" w:w="26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Participación</w:t>
            </w:r>
          </w:p>
        </w:tc>
        <w:tc>
          <w:tcPr>
            <w:tcW w:type="dxa" w:w="3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Naturaleza del código</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GUIBiblia</w:t>
            </w:r>
          </w:p>
        </w:tc>
        <w:tc>
          <w:tcPr>
            <w:tcW w:type="dxa" w:w="2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76.13 %</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Mayoritariamente autogenerado por el editor de formularios</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w:t>
            </w:r>
          </w:p>
        </w:tc>
        <w:tc>
          <w:tcPr>
            <w:tcW w:type="dxa" w:w="2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15.35 %</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Escrito a mano: SQL, JDBC y serialización CSV</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ClasesBiblia</w:t>
            </w:r>
          </w:p>
        </w:tc>
        <w:tc>
          <w:tcPr>
            <w:tcW w:type="dxa" w:w="2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6.38 %</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Escrito a mano: entidades del dominio</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ConsolaBiblia</w:t>
            </w:r>
          </w:p>
        </w:tc>
        <w:tc>
          <w:tcPr>
            <w:tcW w:type="dxa" w:w="2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2.13 %</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Escrito a mano: interfaz de consola para la prueba de caja negra</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2.3 Interpretación</w:t>
      </w:r>
    </w:p>
    <w:p>
      <w:pPr>
        <w:spacing w:after="120" w:before="0" w:line="276"/>
      </w:pPr>
      <w:r>
        <w:rPr>
          <w:rFonts w:ascii="Calibri" w:cs="Calibri" w:eastAsia="Calibri" w:hAnsi="Calibri"/>
          <w:sz w:val="22"/>
          <w:szCs w:val="22"/>
        </w:rPr>
        <w:t xml:space="preserve">El hallazgo más relevante de esta medición es que el 76 % del código de producción reside en el paquete GUIBiblia, y la gran mayoría de esas líneas corresponden al método initComponents() que el editor de formularios de NetBeans genera automáticamente entre las marcas //GEN-BEGIN y //GEN-END. Ese código no fue escrito por el equipo desarrollador, no contiene reglas de negocio y no puede ser modificado a mano sin romper la sincronización con el archivo .form.</w:t>
      </w:r>
    </w:p>
    <w:p>
      <w:pPr>
        <w:spacing w:after="120" w:before="0" w:line="276"/>
      </w:pPr>
      <w:r>
        <w:rPr>
          <w:rFonts w:ascii="Calibri" w:cs="Calibri" w:eastAsia="Calibri" w:hAnsi="Calibri"/>
          <w:sz w:val="22"/>
          <w:szCs w:val="22"/>
        </w:rPr>
        <w:t xml:space="preserve">En consecuencia, la lógica de dominio verdadera del sistema (ClasesBiblia más DAOBiblia) representa apenas el 21.7 % del total, es decir, 858 de las 3 947 líneas efectivas. Cualquier estimación de esfuerzo basada en el total de LOC estaría sobreestimando el trabajo real por un factor cercano a cuatro.</w:t>
      </w:r>
    </w:p>
    <w:p>
      <w:pPr>
        <w:spacing w:after="120" w:before="0" w:line="276"/>
      </w:pPr>
      <w:r>
        <w:rPr>
          <w:rFonts w:ascii="Calibri" w:cs="Calibri" w:eastAsia="Calibri" w:hAnsi="Calibri"/>
          <w:sz w:val="22"/>
          <w:szCs w:val="22"/>
        </w:rPr>
        <w:t xml:space="preserve">En cuanto a la densidad de comentarios, el promedio general de 9.55 % se ubica por debajo del rango de 15 % a 20 % que suele recomendarse para código mantenible. El dato además está distorsionado al alza: GUIBiblia aparenta la densidad más alta (10.72 %) únicamente porque el generador de formularios inserta sus propios comentarios de marca. Los paquetes escritos a mano están claramente por debajo: DAOBiblia tiene 5.78 % pese a concentrar todo el SQL y el manejo de transacciones, que es precisamente el código que más se beneficiaría de documentación.</w:t>
      </w:r>
    </w:p>
    <w:p>
      <w:pPr>
        <w:spacing w:after="120" w:before="0" w:line="276"/>
      </w:pPr>
      <w:r>
        <w:rPr>
          <w:rFonts w:ascii="Calibri" w:cs="Calibri" w:eastAsia="Calibri" w:hAnsi="Calibri"/>
          <w:sz w:val="22"/>
          <w:szCs w:val="22"/>
        </w:rPr>
        <w:t xml:space="preserve">El paquete ConsolaBiblia registra 0 % de densidad. Se trata de una clase nueva, pequeña y deliberadamente autoexplicativa, donde los mensajes de validación se expresan mediante constantes con nombre descriptivo (MSG_CAMPOS_VACIOS, MSG_ANO_FUTURO) en lugar de comentarios. Aun así se señala como área de mejora menor.</w:t>
      </w:r>
    </w:p>
    <w:p>
      <w:r>
        <w:br w:type="page"/>
      </w:r>
    </w:p>
    <w:p>
      <w:pPr>
        <w:pStyle w:val="Heading1"/>
        <w:spacing w:after="140" w:before="280"/>
      </w:pPr>
      <w:r>
        <w:rPr>
          <w:rFonts w:ascii="Calibri" w:cs="Calibri" w:eastAsia="Calibri" w:hAnsi="Calibri"/>
          <w:b/>
          <w:bCs/>
          <w:color w:val="1F3864"/>
          <w:sz w:val="30"/>
          <w:szCs w:val="30"/>
        </w:rPr>
        <w:t xml:space="preserve">3. Métrica de calidad: cobertura de código de las pruebas JUnit</w:t>
      </w:r>
    </w:p>
    <w:p>
      <w:pPr>
        <w:spacing w:after="120" w:before="0" w:line="276"/>
      </w:pPr>
      <w:r>
        <w:rPr>
          <w:rFonts w:ascii="Calibri" w:cs="Calibri" w:eastAsia="Calibri" w:hAnsi="Calibri"/>
          <w:sz w:val="22"/>
          <w:szCs w:val="22"/>
        </w:rPr>
        <w:t xml:space="preserve">La cobertura se midió con JaCoCo, ejecutando la suite completa de 70 pruebas JUnit con el agente de instrumentación adjunto. Se integró un target medir-cobertura en el archivo build.xml del proyecto, siguiendo el mismo patrón que los targets de análisis estático ya existentes, dado que el catálogo de complementos de NetBeans 25 ya no ofrece un complemento de Code Coverage (los anteriores se basaban en EMMA, actualmente descontinuado).</w:t>
      </w:r>
    </w:p>
    <w:p>
      <w:pPr>
        <w:pStyle w:val="Heading2"/>
        <w:spacing w:after="140" w:before="280"/>
      </w:pPr>
      <w:r>
        <w:rPr>
          <w:rFonts w:ascii="Calibri" w:cs="Calibri" w:eastAsia="Calibri" w:hAnsi="Calibri"/>
          <w:b/>
          <w:bCs/>
          <w:color w:val="1F3864"/>
          <w:sz w:val="25"/>
          <w:szCs w:val="25"/>
        </w:rPr>
        <w:t xml:space="preserve">3.1 Resultados globales</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480"/>
      </w:tblGrid>
      <w:tr>
        <w:trPr>
          <w:tblHeader/>
        </w:trPr>
        <w:tc>
          <w:tcPr>
            <w:tcW w:type="dxa" w:w="3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Métrica</w:t>
            </w:r>
          </w:p>
        </w:tc>
        <w:tc>
          <w:tcPr>
            <w:tcW w:type="dxa" w:w="20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Cubierto</w:t>
            </w:r>
          </w:p>
        </w:tc>
        <w:tc>
          <w:tcPr>
            <w:tcW w:type="dxa" w:w="20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Total</w:t>
            </w:r>
          </w:p>
        </w:tc>
        <w:tc>
          <w:tcPr>
            <w:tcW w:type="dxa" w:w="2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Porcentaje</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Instrucciones de bytecode</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11 181</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14 956</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74 %</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Ramas de decisión</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76</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306</w:t>
            </w:r>
          </w:p>
        </w:tc>
        <w:tc>
          <w:tcPr>
            <w:tcW w:type="dxa" w:w="24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24 %</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Líneas de código</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1 926</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2 978</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65 %</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Métodos</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124</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267</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46 %</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54</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63</w:t>
            </w:r>
          </w:p>
        </w:tc>
        <w:tc>
          <w:tcPr>
            <w:tcW w:type="dxa" w:w="24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86 %</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Complejidad ciclomática</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152</w:t>
            </w:r>
          </w:p>
        </w:tc>
        <w:tc>
          <w:tcPr>
            <w:tcW w:type="dxa" w:w="2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426</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36 %</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3.2 Cobertura por paquete</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700"/>
        <w:gridCol w:w="2100"/>
        <w:gridCol w:w="1080"/>
      </w:tblGrid>
      <w:tr>
        <w:trPr>
          <w:tblHeader/>
        </w:trPr>
        <w:tc>
          <w:tcPr>
            <w:tcW w:type="dxa" w:w="29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Paquete</w:t>
            </w:r>
          </w:p>
        </w:tc>
        <w:tc>
          <w:tcPr>
            <w:tcW w:type="dxa" w:w="1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Instrucciones</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Ramas</w:t>
            </w:r>
          </w:p>
        </w:tc>
        <w:tc>
          <w:tcPr>
            <w:tcW w:type="dxa" w:w="21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Líneas cubiertas</w:t>
            </w:r>
          </w:p>
        </w:tc>
        <w:tc>
          <w:tcPr>
            <w:tcW w:type="dxa" w:w="10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Clases</w:t>
            </w:r>
          </w:p>
        </w:tc>
      </w:tr>
      <w:tr>
        <w:tc>
          <w:tcPr>
            <w:tcW w:type="dxa" w:w="2900"/>
            <w:shd w:fill="D9EAD3"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ConsolaBiblia</w:t>
            </w:r>
          </w:p>
        </w:tc>
        <w:tc>
          <w:tcPr>
            <w:tcW w:type="dxa" w:w="19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88 %</w:t>
            </w:r>
          </w:p>
        </w:tc>
        <w:tc>
          <w:tcPr>
            <w:tcW w:type="dxa" w:w="17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65 %</w:t>
            </w:r>
          </w:p>
        </w:tc>
        <w:tc>
          <w:tcPr>
            <w:tcW w:type="dxa" w:w="21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44 / 52  (85 %)</w:t>
            </w:r>
          </w:p>
        </w:tc>
        <w:tc>
          <w:tcPr>
            <w:tcW w:type="dxa" w:w="10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 / 1</w:t>
            </w:r>
          </w:p>
        </w:tc>
      </w:tr>
      <w:tr>
        <w:tc>
          <w:tcPr>
            <w:tcW w:type="dxa" w:w="29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GUIBiblia</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79 %</w:t>
            </w:r>
          </w:p>
        </w:tc>
        <w:tc>
          <w:tcPr>
            <w:tcW w:type="dxa" w:w="17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14 %</w:t>
            </w:r>
          </w:p>
        </w:tc>
        <w:tc>
          <w:tcPr>
            <w:tcW w:type="dxa" w:w="2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1 638 / 2 349  (70 %)</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42 / 51</w:t>
            </w:r>
          </w:p>
        </w:tc>
      </w:tr>
      <w:tr>
        <w:tc>
          <w:tcPr>
            <w:tcW w:type="dxa" w:w="29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ClasesBiblia</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64 %</w:t>
            </w:r>
          </w:p>
        </w:tc>
        <w:tc>
          <w:tcPr>
            <w:tcW w:type="dxa" w:w="17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100 %</w:t>
            </w:r>
          </w:p>
        </w:tc>
        <w:tc>
          <w:tcPr>
            <w:tcW w:type="dxa" w:w="2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82 / 137  (60 %)</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 / 5</w:t>
            </w:r>
          </w:p>
        </w:tc>
      </w:tr>
      <w:tr>
        <w:tc>
          <w:tcPr>
            <w:tcW w:type="dxa" w:w="2900"/>
            <w:shd w:fill="FFF2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w:t>
            </w:r>
          </w:p>
        </w:tc>
        <w:tc>
          <w:tcPr>
            <w:tcW w:type="dxa" w:w="19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36 %</w:t>
            </w:r>
          </w:p>
        </w:tc>
        <w:tc>
          <w:tcPr>
            <w:tcW w:type="dxa" w:w="170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38 %</w:t>
            </w:r>
          </w:p>
        </w:tc>
        <w:tc>
          <w:tcPr>
            <w:tcW w:type="dxa" w:w="21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162 / 440  (37 %)</w:t>
            </w:r>
          </w:p>
        </w:tc>
        <w:tc>
          <w:tcPr>
            <w:tcW w:type="dxa" w:w="108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 / 6</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3.3 Clases con menor cobertura</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80"/>
      </w:tblGrid>
      <w:tr>
        <w:trPr>
          <w:tblHeader/>
        </w:trPr>
        <w:tc>
          <w:tcPr>
            <w:tcW w:type="dxa" w:w="4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Clase</w:t>
            </w:r>
          </w:p>
        </w:tc>
        <w:tc>
          <w:tcPr>
            <w:tcW w:type="dxa" w:w="2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Instrucciones</w:t>
            </w:r>
          </w:p>
        </w:tc>
        <w:tc>
          <w:tcPr>
            <w:tcW w:type="dxa" w:w="30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Ramas</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DAOBiblia.EmpleadoDao</w:t>
            </w:r>
          </w:p>
        </w:tc>
        <w:tc>
          <w:tcPr>
            <w:tcW w:type="dxa" w:w="24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17 %</w:t>
            </w:r>
          </w:p>
        </w:tc>
        <w:tc>
          <w:tcPr>
            <w:tcW w:type="dxa" w:w="30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11 %</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DAOBiblia.PrestamoDao</w:t>
            </w:r>
          </w:p>
        </w:tc>
        <w:tc>
          <w:tcPr>
            <w:tcW w:type="dxa" w:w="24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27 %</w:t>
            </w:r>
          </w:p>
        </w:tc>
        <w:tc>
          <w:tcPr>
            <w:tcW w:type="dxa" w:w="30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16 %</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DAOBiblia.LibroDao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43 %</w:t>
            </w:r>
          </w:p>
        </w:tc>
        <w:tc>
          <w:tcPr>
            <w:tcW w:type="dxa" w:w="3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60 %</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DAOBiblia.UsuarioDao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45 %</w:t>
            </w:r>
          </w:p>
        </w:tc>
        <w:tc>
          <w:tcPr>
            <w:tcW w:type="dxa" w:w="3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55 %</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ClasesBiblia.Usuario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56 %</w:t>
            </w:r>
          </w:p>
        </w:tc>
        <w:tc>
          <w:tcPr>
            <w:tcW w:type="dxa" w:w="3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sin ramas</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ClasesBiblia.Publicacion</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58 %</w:t>
            </w:r>
          </w:p>
        </w:tc>
        <w:tc>
          <w:tcPr>
            <w:tcW w:type="dxa" w:w="3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sin ramas</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3.4 Justificación crítica: ¿qué porcentaje de las líneas fue efectivamente evaluado?</w:t>
      </w:r>
    </w:p>
    <w:p>
      <w:pPr>
        <w:spacing w:after="120" w:before="0" w:line="276"/>
      </w:pPr>
      <w:r>
        <w:rPr>
          <w:rFonts w:ascii="Calibri" w:cs="Calibri" w:eastAsia="Calibri" w:hAnsi="Calibri"/>
          <w:sz w:val="22"/>
          <w:szCs w:val="22"/>
        </w:rPr>
        <w:t xml:space="preserve">La respuesta corta es que se evaluó el 65 % de las líneas. La respuesta honesta es considerablemente menos alentadora, y el dato que lo revela es la brecha entre la cobertura de instrucciones (74 %) y la cobertura de ramas (24 %).</w:t>
      </w:r>
    </w:p>
    <w:p>
      <w:pPr>
        <w:spacing w:after="120" w:before="0" w:line="276"/>
      </w:pPr>
      <w:r>
        <w:rPr>
          <w:rFonts w:ascii="Calibri" w:cs="Calibri" w:eastAsia="Calibri" w:hAnsi="Calibri"/>
          <w:sz w:val="22"/>
          <w:szCs w:val="22"/>
        </w:rPr>
        <w:t xml:space="preserve">Cubrir una instrucción significa únicamente que esa línea llegó a ejecutarse al menos una vez. Cubrir una rama significa que se ejercitaron ambos caminos posibles de una decisión: el verdadero y el falso. Que tres cuartas partes del bytecode se ejecuten mientras solo una cuarta parte de las decisiones se prueban indica que las pruebas recorren el código, pero no lo interrogan.</w:t>
      </w:r>
    </w:p>
    <w:p>
      <w:pPr>
        <w:spacing w:after="120" w:before="0" w:line="276"/>
      </w:pPr>
      <w:r>
        <w:rPr>
          <w:rFonts w:ascii="Calibri" w:cs="Calibri" w:eastAsia="Calibri" w:hAnsi="Calibri"/>
          <w:sz w:val="22"/>
          <w:szCs w:val="22"/>
        </w:rPr>
        <w:t xml:space="preserve">El caso extremo es GUIBiblia, con 79 % de instrucciones y apenas 14 % de ramas. La explicación es directa: las 43 pruebas de ventanas se limitan a construir cada JFrame y verificar su estado inicial, es decir, que se instancia sin excepciones, que no es visible por defecto y que tiene un tamaño definido. Esa simple construcción ejecuta los cientos de líneas autogeneradas de initComponents(), lo que infla artificialmente la cobertura de instrucciones sin probar ni una sola decisión de negocio. Es la demostración empírica de por qué la cobertura de líneas, tomada de forma aislada, es una métrica engañosa.</w:t>
      </w:r>
    </w:p>
    <w:p>
      <w:pPr>
        <w:spacing w:after="120" w:before="0" w:line="276"/>
      </w:pPr>
      <w:r>
        <w:rPr>
          <w:rFonts w:ascii="Calibri" w:cs="Calibri" w:eastAsia="Calibri" w:hAnsi="Calibri"/>
          <w:sz w:val="22"/>
          <w:szCs w:val="22"/>
        </w:rPr>
        <w:t xml:space="preserve">En el extremo opuesto, ConsolaBiblia es el paquete mejor cubierto (88 % de instrucciones y 65 % de ramas) y no es casualidad: es el único componente que se diseñó pensando en ser probado. El método main() se separó de un método ejecutar(Scanner, PrintStream, LibroDao) que recibe sus dependencias por parámetro, lo que permite sustituir la entrada, la salida y el objeto de acceso a datos durante la prueba. La testabilidad no se agregó al final: se obtuvo por diseño.</w:t>
      </w:r>
    </w:p>
    <w:p>
      <w:pPr>
        <w:spacing w:after="120" w:before="0" w:line="276"/>
      </w:pPr>
      <w:r>
        <w:rPr>
          <w:rFonts w:ascii="Calibri" w:cs="Calibri" w:eastAsia="Calibri" w:hAnsi="Calibri"/>
          <w:sz w:val="22"/>
          <w:szCs w:val="22"/>
        </w:rPr>
        <w:t xml:space="preserve">ClasesBiblia alcanza 100 % de cobertura de ramas, aunque conviene matizar el dato: el paquete contiene solamente dos ramas, ambas en el método Libro.setDisponible(), y las dos quedaron cubiertas por los casos TC-01 a TC-04, incluido el que documenta el defecto D-01.</w:t>
      </w:r>
    </w:p>
    <w:p>
      <w:pPr>
        <w:spacing w:after="120" w:before="0" w:line="276"/>
      </w:pPr>
      <w:r>
        <w:rPr>
          <w:rFonts w:ascii="Calibri" w:cs="Calibri" w:eastAsia="Calibri" w:hAnsi="Calibri"/>
          <w:sz w:val="22"/>
          <w:szCs w:val="22"/>
        </w:rPr>
        <w:t xml:space="preserve">Finalmente, DAOBiblia se queda en 36 % por una decisión deliberada de alcance. Las pruebas cubren la persistencia en archivos CSV, que es determinista y reproducible, pero no los métodos JDBC contra MySQL, que exigirían un servidor de base de datos activo y dejarían la bitácora de pruebas dependiente del entorno. La consecuencia es que EmpleadoDao (17 %) y PrestamoDao (27 %) carecen de pruebas propias, siendo PrestamoDao la clase que más lo necesitaría, porque es la única que maneja transacciones con commit y rollback explícitos.</w:t>
      </w:r>
    </w:p>
    <w:p>
      <w:r>
        <w:br w:type="page"/>
      </w:r>
    </w:p>
    <w:p>
      <w:pPr>
        <w:pStyle w:val="Heading1"/>
        <w:spacing w:after="140" w:before="280"/>
      </w:pPr>
      <w:r>
        <w:rPr>
          <w:rFonts w:ascii="Calibri" w:cs="Calibri" w:eastAsia="Calibri" w:hAnsi="Calibri"/>
          <w:b/>
          <w:bCs/>
          <w:color w:val="1F3864"/>
          <w:sz w:val="30"/>
          <w:szCs w:val="30"/>
        </w:rPr>
        <w:t xml:space="preserve">4. Métrica de función: matriz de conteo de puntos de función</w:t>
      </w:r>
    </w:p>
    <w:p>
      <w:pPr>
        <w:spacing w:after="120" w:before="0" w:line="276"/>
      </w:pPr>
      <w:r>
        <w:rPr>
          <w:rFonts w:ascii="Calibri" w:cs="Calibri" w:eastAsia="Calibri" w:hAnsi="Calibri"/>
          <w:sz w:val="22"/>
          <w:szCs w:val="22"/>
        </w:rPr>
        <w:t xml:space="preserve">El conteo se realizó sobre la arquitectura del sistema, identificando los procesos elementales que cruzan la frontera de la aplicación. Para cada función se registró el número de archivos lógicos referenciados (ALR) y el número de tipos de datos elementales (TDE), que son los dos parámetros con los que la metodología IFPUG determina la complejidad, y a partir de ella el peso en puntos de función.</w:t>
      </w:r>
    </w:p>
    <w:p>
      <w:pPr>
        <w:pStyle w:val="Heading2"/>
        <w:spacing w:after="140" w:before="280"/>
      </w:pPr>
      <w:r>
        <w:rPr>
          <w:rFonts w:ascii="Calibri" w:cs="Calibri" w:eastAsia="Calibri" w:hAnsi="Calibri"/>
          <w:b/>
          <w:bCs/>
          <w:color w:val="1F3864"/>
          <w:sz w:val="25"/>
          <w:szCs w:val="25"/>
        </w:rPr>
        <w:t xml:space="preserve">4.1 Criterios de conteo aplicados</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gridCol w:w="1480"/>
      </w:tblGrid>
      <w:tr>
        <w:trPr>
          <w:tblHeader/>
        </w:trPr>
        <w:tc>
          <w:tcPr>
            <w:tcW w:type="dxa" w:w="2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Componente</w:t>
            </w:r>
          </w:p>
        </w:tc>
        <w:tc>
          <w:tcPr>
            <w:tcW w:type="dxa" w:w="61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Criterio</w:t>
            </w:r>
          </w:p>
        </w:tc>
        <w:tc>
          <w:tcPr>
            <w:tcW w:type="dxa" w:w="1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Pesos</w:t>
            </w:r>
          </w:p>
        </w:tc>
      </w:tr>
      <w:tr>
        <w:tc>
          <w:tcPr>
            <w:tcW w:type="dxa" w:w="2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Entrada externa (EE)</w:t>
            </w:r>
          </w:p>
        </w:tc>
        <w:tc>
          <w:tcPr>
            <w:tcW w:type="dxa" w:w="6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Proceso donde el usuario o un archivo introduce datos que modifican un archivo lógico interno</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 3 / M 4 / A 6</w:t>
            </w:r>
          </w:p>
        </w:tc>
      </w:tr>
      <w:tr>
        <w:tc>
          <w:tcPr>
            <w:tcW w:type="dxa" w:w="2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Salida externa (SE)</w:t>
            </w:r>
          </w:p>
        </w:tc>
        <w:tc>
          <w:tcPr>
            <w:tcW w:type="dxa" w:w="6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 que el sistema envía al exterior aplicando cálculo, derivación o transformación</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 4 / M 5 / A 7</w:t>
            </w:r>
          </w:p>
        </w:tc>
      </w:tr>
      <w:tr>
        <w:tc>
          <w:tcPr>
            <w:tcW w:type="dxa" w:w="2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Consulta externa (CE)</w:t>
            </w:r>
          </w:p>
        </w:tc>
        <w:tc>
          <w:tcPr>
            <w:tcW w:type="dxa" w:w="6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Recuperación de datos que no altera el estado del sistema ni deriva información nueva</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 3 / M 4 / A 6</w:t>
            </w:r>
          </w:p>
        </w:tc>
      </w:tr>
      <w:tr>
        <w:tc>
          <w:tcPr>
            <w:tcW w:type="dxa" w:w="2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Archivo lógico interno (ALI)</w:t>
            </w:r>
          </w:p>
        </w:tc>
        <w:tc>
          <w:tcPr>
            <w:tcW w:type="dxa" w:w="6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Grupo de datos relacionados que el sistema mantiene internamente</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 7 / M 10 / A 15</w:t>
            </w:r>
          </w:p>
        </w:tc>
      </w:tr>
      <w:tr>
        <w:tc>
          <w:tcPr>
            <w:tcW w:type="dxa" w:w="2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Archivo de interfaz externa (AIE)</w:t>
            </w:r>
          </w:p>
        </w:tc>
        <w:tc>
          <w:tcPr>
            <w:tcW w:type="dxa" w:w="61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Archivos o datos compartidos con otros sistemas</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 5 / M 7 / A 10</w:t>
            </w:r>
          </w:p>
        </w:tc>
      </w:tr>
    </w:tbl>
    <w:p>
      <w:pPr>
        <w:spacing w:after="180"/>
      </w:pPr>
      <w:r>
        <w:rPr>
          <w:rFonts w:ascii="Calibri" w:cs="Calibri" w:eastAsia="Calibri" w:hAnsi="Calibri"/>
        </w:rPr>
        <w:t xml:space="preserve"/>
      </w:r>
    </w:p>
    <w:p>
      <w:pPr>
        <w:spacing w:after="120" w:before="0" w:line="276"/>
      </w:pPr>
      <w:r>
        <w:rPr>
          <w:rFonts w:ascii="Calibri" w:cs="Calibri" w:eastAsia="Calibri" w:hAnsi="Calibri"/>
          <w:sz w:val="22"/>
          <w:szCs w:val="22"/>
        </w:rPr>
        <w:t xml:space="preserve">Dos decisiones de conteo merecen justificarse. La primera es que la interfaz de consola AltaLibroConsola no se contabiliza como una entrada externa adicional: ejecuta exactamente la misma lógica de proceso sobre el mismo archivo lógico interno que el formulario GUILibro, y la metodología cuenta procesos elementales, no interfaces de usuario. La segunda es que los archivos CSV no se cuentan como archivos lógicos internos separados de las tablas de MySQL, porque almacenan los mismos grupos lógicos de datos; se trata de un mecanismo de respaldo alterno, no de un almacén distinto.</w:t>
      </w:r>
    </w:p>
    <w:p>
      <w:pPr>
        <w:spacing w:after="12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4.2 Entradas externas (EE)</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1700"/>
        <w:gridCol w:w="800"/>
        <w:gridCol w:w="800"/>
        <w:gridCol w:w="1500"/>
        <w:gridCol w:w="1080"/>
      </w:tblGrid>
      <w:tr>
        <w:trPr>
          <w:tblHeader/>
        </w:trPr>
        <w:tc>
          <w:tcPr>
            <w:tcW w:type="dxa" w:w="10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ID</w:t>
            </w:r>
          </w:p>
        </w:tc>
        <w:tc>
          <w:tcPr>
            <w:tcW w:type="dxa" w:w="2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Proceso elemental</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Componente</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ALR</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TDE</w:t>
            </w:r>
          </w:p>
        </w:tc>
        <w:tc>
          <w:tcPr>
            <w:tcW w:type="dxa" w:w="15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Complejidad</w:t>
            </w:r>
          </w:p>
        </w:tc>
        <w:tc>
          <w:tcPr>
            <w:tcW w:type="dxa" w:w="10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EE-01</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Registrar libro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GUILibro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EE-02</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Actualizar libro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GUILibro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EE-03</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Eliminar libro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DatosLibro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EE-04</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Registrar usuario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GUIUsuario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EE-05</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Actualizar usuario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GUIUsuario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EE-06</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Eliminar usuario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DatosUsuario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EE-07</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Registrar empleado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GUIEmpleado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EE-08</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Actualizar empleado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GUIEmpleado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EE-09</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Eliminar empleado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DatosEmpleado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EE-10</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Registrar préstamo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GUIPrestamo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w:t>
            </w:r>
          </w:p>
        </w:tc>
        <w:tc>
          <w:tcPr>
            <w:tcW w:type="dxa" w:w="150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Media</w:t>
            </w:r>
          </w:p>
        </w:tc>
        <w:tc>
          <w:tcPr>
            <w:tcW w:type="dxa" w:w="108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EE-11</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Realizar devolución</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DatosPrestamo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EE-12</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Restaurar libros desde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LibroDao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EE-13</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Restaurar usuarios desde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UsuarioDao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EE-14</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Restaurar empleados desde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EmpleadoDao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Subtotal EE</w:t>
            </w:r>
          </w:p>
        </w:tc>
        <w:tc>
          <w:tcPr>
            <w:tcW w:type="dxa" w:w="29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14 entradas externas</w:t>
            </w:r>
          </w:p>
        </w:tc>
        <w:tc>
          <w:tcPr>
            <w:tcW w:type="dxa" w:w="17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5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0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43</w:t>
            </w:r>
          </w:p>
        </w:tc>
      </w:tr>
    </w:tbl>
    <w:p>
      <w:pPr>
        <w:spacing w:after="22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4.3 Salidas externas (SE)</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1700"/>
        <w:gridCol w:w="800"/>
        <w:gridCol w:w="800"/>
        <w:gridCol w:w="1500"/>
        <w:gridCol w:w="1080"/>
      </w:tblGrid>
      <w:tr>
        <w:trPr>
          <w:tblHeader/>
        </w:trPr>
        <w:tc>
          <w:tcPr>
            <w:tcW w:type="dxa" w:w="10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ID</w:t>
            </w:r>
          </w:p>
        </w:tc>
        <w:tc>
          <w:tcPr>
            <w:tcW w:type="dxa" w:w="2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Proceso elemental</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Componente</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ALR</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TDE</w:t>
            </w:r>
          </w:p>
        </w:tc>
        <w:tc>
          <w:tcPr>
            <w:tcW w:type="dxa" w:w="15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Complejidad</w:t>
            </w:r>
          </w:p>
        </w:tc>
        <w:tc>
          <w:tcPr>
            <w:tcW w:type="dxa" w:w="10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SE-01</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Historial de préstamos con estado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PrestamoDao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c>
          <w:tcPr>
            <w:tcW w:type="dxa" w:w="150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Media</w:t>
            </w:r>
          </w:p>
        </w:tc>
        <w:tc>
          <w:tcPr>
            <w:tcW w:type="dxa" w:w="108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SE-02</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Respaldo de libros a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LibroDao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SE-03</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Respaldo de usuarios a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UsuarioDao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SE-04</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Respaldo de empleados a CSV</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EmpleadoDao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r>
      <w:tr>
        <w:tc>
          <w:tcPr>
            <w:tcW w:type="dxa" w:w="10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Subtotal SE</w:t>
            </w:r>
          </w:p>
        </w:tc>
        <w:tc>
          <w:tcPr>
            <w:tcW w:type="dxa" w:w="29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 salidas externas</w:t>
            </w:r>
          </w:p>
        </w:tc>
        <w:tc>
          <w:tcPr>
            <w:tcW w:type="dxa" w:w="17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5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0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17</w:t>
            </w:r>
          </w:p>
        </w:tc>
      </w:tr>
    </w:tbl>
    <w:p>
      <w:pPr>
        <w:spacing w:after="120"/>
      </w:pPr>
      <w:r>
        <w:rPr>
          <w:rFonts w:ascii="Calibri" w:cs="Calibri" w:eastAsia="Calibri" w:hAnsi="Calibri"/>
        </w:rPr>
        <w:t xml:space="preserve"/>
      </w:r>
    </w:p>
    <w:p>
      <w:pPr>
        <w:spacing w:after="120" w:before="0" w:line="276"/>
      </w:pPr>
      <w:r>
        <w:rPr>
          <w:rFonts w:ascii="Calibri" w:cs="Calibri" w:eastAsia="Calibri" w:hAnsi="Calibri"/>
          <w:i/>
          <w:iCs/>
          <w:sz w:val="20"/>
          <w:szCs w:val="20"/>
        </w:rPr>
        <w:t xml:space="preserve">El historial de préstamos se clasifica como salida externa y no como consulta porque su procesamiento no es una simple recuperación: combina tres archivos lógicos mediante uniones, concatena nombre y apellido del usuario para formar un dato nuevo, y presenta el estado del préstamo. Los respaldos a CSV también son salidas externas, ya que envían datos fuera de la frontera del sistema hacia archivos del sistema operativo.</w:t>
      </w:r>
    </w:p>
    <w:p>
      <w:r>
        <w:br w:type="page"/>
      </w:r>
    </w:p>
    <w:p>
      <w:pPr>
        <w:pStyle w:val="Heading2"/>
        <w:spacing w:after="140" w:before="280"/>
      </w:pPr>
      <w:r>
        <w:rPr>
          <w:rFonts w:ascii="Calibri" w:cs="Calibri" w:eastAsia="Calibri" w:hAnsi="Calibri"/>
          <w:b/>
          <w:bCs/>
          <w:color w:val="1F3864"/>
          <w:sz w:val="25"/>
          <w:szCs w:val="25"/>
        </w:rPr>
        <w:t xml:space="preserve">4.4 Consultas externas (CE)</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1700"/>
        <w:gridCol w:w="800"/>
        <w:gridCol w:w="800"/>
        <w:gridCol w:w="1500"/>
        <w:gridCol w:w="1080"/>
      </w:tblGrid>
      <w:tr>
        <w:trPr>
          <w:tblHeader/>
        </w:trPr>
        <w:tc>
          <w:tcPr>
            <w:tcW w:type="dxa" w:w="10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ID</w:t>
            </w:r>
          </w:p>
        </w:tc>
        <w:tc>
          <w:tcPr>
            <w:tcW w:type="dxa" w:w="2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Proceso elemental</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Componente</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ALR</w:t>
            </w:r>
          </w:p>
        </w:tc>
        <w:tc>
          <w:tcPr>
            <w:tcW w:type="dxa" w:w="8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TDE</w:t>
            </w:r>
          </w:p>
        </w:tc>
        <w:tc>
          <w:tcPr>
            <w:tcW w:type="dxa" w:w="15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Complejidad</w:t>
            </w:r>
          </w:p>
        </w:tc>
        <w:tc>
          <w:tcPr>
            <w:tcW w:type="dxa" w:w="10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CE-01</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Mostrar catálogo de libros</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DatosLibro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CE-02</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Mostrar padrón de usuarios</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DatosUsuario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CE-03</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Mostrar plantilla de empleados</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DatosEmpleado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CE-04</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Buscar libro por título</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LibroDao</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8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0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0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Subtotal CE</w:t>
            </w:r>
          </w:p>
        </w:tc>
        <w:tc>
          <w:tcPr>
            <w:tcW w:type="dxa" w:w="29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 consultas externas</w:t>
            </w:r>
          </w:p>
        </w:tc>
        <w:tc>
          <w:tcPr>
            <w:tcW w:type="dxa" w:w="17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8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5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0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12</w:t>
            </w:r>
          </w:p>
        </w:tc>
      </w:tr>
    </w:tbl>
    <w:p>
      <w:pPr>
        <w:spacing w:after="22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4.5 Archivos lógicos internos (ALI)</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900"/>
        <w:gridCol w:w="900"/>
        <w:gridCol w:w="1500"/>
        <w:gridCol w:w="1480"/>
      </w:tblGrid>
      <w:tr>
        <w:trPr>
          <w:tblHeader/>
        </w:trPr>
        <w:tc>
          <w:tcPr>
            <w:tcW w:type="dxa" w:w="10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ID</w:t>
            </w:r>
          </w:p>
        </w:tc>
        <w:tc>
          <w:tcPr>
            <w:tcW w:type="dxa" w:w="40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Grupo lógico de datos</w:t>
            </w:r>
          </w:p>
        </w:tc>
        <w:tc>
          <w:tcPr>
            <w:tcW w:type="dxa" w:w="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RET</w:t>
            </w:r>
          </w:p>
        </w:tc>
        <w:tc>
          <w:tcPr>
            <w:tcW w:type="dxa" w:w="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TDE</w:t>
            </w:r>
          </w:p>
        </w:tc>
        <w:tc>
          <w:tcPr>
            <w:tcW w:type="dxa" w:w="15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Complejidad</w:t>
            </w:r>
          </w:p>
        </w:tc>
        <w:tc>
          <w:tcPr>
            <w:tcW w:type="dxa" w:w="1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ALI-01</w:t>
            </w:r>
          </w:p>
        </w:tc>
        <w:tc>
          <w:tcPr>
            <w:tcW w:type="dxa" w:w="4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Libro (tabla libros + libros.csv)</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ALI-02</w:t>
            </w:r>
          </w:p>
        </w:tc>
        <w:tc>
          <w:tcPr>
            <w:tcW w:type="dxa" w:w="4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Usuario (tabla usuarios + usuarios.csv)</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ALI-03</w:t>
            </w:r>
          </w:p>
        </w:tc>
        <w:tc>
          <w:tcPr>
            <w:tcW w:type="dxa" w:w="4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Empleado (tabla empleados + empleados.csv)</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r>
      <w:tr>
        <w:tc>
          <w:tcPr>
            <w:tcW w:type="dxa" w:w="10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ALI-04</w:t>
            </w:r>
          </w:p>
        </w:tc>
        <w:tc>
          <w:tcPr>
            <w:tcW w:type="dxa" w:w="40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Préstamo (tabla prestamos)</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w:t>
            </w:r>
          </w:p>
        </w:tc>
        <w:tc>
          <w:tcPr>
            <w:tcW w:type="dxa" w:w="15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Baja</w:t>
            </w:r>
          </w:p>
        </w:tc>
        <w:tc>
          <w:tcPr>
            <w:tcW w:type="dxa" w:w="1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r>
      <w:tr>
        <w:tc>
          <w:tcPr>
            <w:tcW w:type="dxa" w:w="10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Subtotal ALI</w:t>
            </w:r>
          </w:p>
        </w:tc>
        <w:tc>
          <w:tcPr>
            <w:tcW w:type="dxa" w:w="40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 archivos lógicos internos</w:t>
            </w:r>
          </w:p>
        </w:tc>
        <w:tc>
          <w:tcPr>
            <w:tcW w:type="dxa" w:w="9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9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5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4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28</w:t>
            </w:r>
          </w:p>
        </w:tc>
      </w:tr>
    </w:tbl>
    <w:p>
      <w:pPr>
        <w:spacing w:after="22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4.6 Archivos de interfaz externa (AIE)</w:t>
      </w:r>
    </w:p>
    <w:p>
      <w:pPr>
        <w:spacing w:after="120" w:before="0" w:line="276"/>
      </w:pPr>
      <w:r>
        <w:rPr>
          <w:rFonts w:ascii="Calibri" w:cs="Calibri" w:eastAsia="Calibri" w:hAnsi="Calibri"/>
          <w:sz w:val="22"/>
          <w:szCs w:val="22"/>
        </w:rPr>
        <w:t xml:space="preserve">El sistema BibliotecaIngeSoftware es una aplicación completamente local: no consume servicios web, no lee archivos mantenidos por otras aplicaciones y no expone datos a sistemas externos. La base de datos MySQL se ejecuta en el mismo equipo y es mantenida exclusivamente por esta aplicación, por lo que corresponde a un archivo lógico interno y no a una interfaz externa. Los archivos CSV son generados y consumidos por el propio sistema.</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6000"/>
        <w:gridCol w:w="3480"/>
        <w:gridCol w:w="1300"/>
      </w:tblGrid>
      <w:tr>
        <w:trPr>
          <w:tblHeader/>
        </w:trPr>
        <w:tc>
          <w:tcPr>
            <w:tcW w:type="dxa" w:w="60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Concepto</w:t>
            </w:r>
          </w:p>
        </w:tc>
        <w:tc>
          <w:tcPr>
            <w:tcW w:type="dxa" w:w="3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Justificación</w:t>
            </w:r>
          </w:p>
        </w:tc>
        <w:tc>
          <w:tcPr>
            <w:tcW w:type="dxa" w:w="13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6000"/>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Archivos de interfaz externa</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No aplica: el proyecto es completamente local</w:t>
            </w:r>
          </w:p>
        </w:tc>
        <w:tc>
          <w:tcPr>
            <w:tcW w:type="dxa" w:w="1300"/>
            <w:shd w:fill="F2F2F2"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0</w:t>
            </w:r>
          </w:p>
        </w:tc>
      </w:tr>
    </w:tbl>
    <w:p>
      <w:pPr>
        <w:spacing w:after="22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4.7 Matriz de conteo consolidada</w:t>
      </w:r>
    </w:p>
    <w:tbl>
      <w:tblPr>
        <w:tblW w:type="dxa" w:w="978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1700"/>
        <w:gridCol w:w="1280"/>
      </w:tblGrid>
      <w:tr>
        <w:trPr>
          <w:tblHeader/>
        </w:trPr>
        <w:tc>
          <w:tcPr>
            <w:tcW w:type="dxa" w:w="34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Tipo de componente</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Cantidad</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Baja</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Media</w:t>
            </w:r>
          </w:p>
        </w:tc>
        <w:tc>
          <w:tcPr>
            <w:tcW w:type="dxa" w:w="12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Total PF</w:t>
            </w:r>
          </w:p>
        </w:tc>
      </w:tr>
      <w:tr>
        <w:tc>
          <w:tcPr>
            <w:tcW w:type="dxa" w:w="34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Entradas externas (EE)</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13 × 3 = 39</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 × 4 = 4</w:t>
            </w:r>
          </w:p>
        </w:tc>
        <w:tc>
          <w:tcPr>
            <w:tcW w:type="dxa" w:w="12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43</w:t>
            </w:r>
          </w:p>
        </w:tc>
      </w:tr>
      <w:tr>
        <w:tc>
          <w:tcPr>
            <w:tcW w:type="dxa" w:w="34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Salidas externas (SE)</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 × 4 = 12</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 × 5 = 5</w:t>
            </w:r>
          </w:p>
        </w:tc>
        <w:tc>
          <w:tcPr>
            <w:tcW w:type="dxa" w:w="12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17</w:t>
            </w:r>
          </w:p>
        </w:tc>
      </w:tr>
      <w:tr>
        <w:tc>
          <w:tcPr>
            <w:tcW w:type="dxa" w:w="34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Consultas externas (CE)</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 × 3 = 12</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w:t>
            </w:r>
          </w:p>
        </w:tc>
        <w:tc>
          <w:tcPr>
            <w:tcW w:type="dxa" w:w="12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12</w:t>
            </w:r>
          </w:p>
        </w:tc>
      </w:tr>
      <w:tr>
        <w:tc>
          <w:tcPr>
            <w:tcW w:type="dxa" w:w="34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Archivos lógicos internos (ALI)</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 × 7 = 28</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w:t>
            </w:r>
          </w:p>
        </w:tc>
        <w:tc>
          <w:tcPr>
            <w:tcW w:type="dxa" w:w="12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28</w:t>
            </w:r>
          </w:p>
        </w:tc>
      </w:tr>
      <w:tr>
        <w:tc>
          <w:tcPr>
            <w:tcW w:type="dxa" w:w="34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Archivos de interfaz externa (AIE)</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w:t>
            </w:r>
          </w:p>
        </w:tc>
        <w:tc>
          <w:tcPr>
            <w:tcW w:type="dxa" w:w="17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w:t>
            </w:r>
          </w:p>
        </w:tc>
        <w:tc>
          <w:tcPr>
            <w:tcW w:type="dxa" w:w="12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0</w:t>
            </w:r>
          </w:p>
        </w:tc>
      </w:tr>
      <w:tr>
        <w:tc>
          <w:tcPr>
            <w:tcW w:type="dxa" w:w="34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PUNTOS DE FUNCIÓN SIN AJUSTAR (PFSA)</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26</w:t>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7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2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100</w:t>
            </w:r>
          </w:p>
        </w:tc>
      </w:tr>
    </w:tbl>
    <w:p>
      <w:pPr>
        <w:spacing w:after="120"/>
      </w:pPr>
      <w:r>
        <w:rPr>
          <w:rFonts w:ascii="Calibri" w:cs="Calibri" w:eastAsia="Calibri" w:hAnsi="Calibri"/>
        </w:rPr>
        <w:t xml:space="preserve"/>
      </w:r>
    </w:p>
    <w:p>
      <w:pPr>
        <w:spacing w:after="120" w:before="0" w:line="276"/>
      </w:pPr>
      <w:r>
        <w:rPr>
          <w:rFonts w:ascii="Calibri" w:cs="Calibri" w:eastAsia="Calibri" w:hAnsi="Calibri"/>
          <w:i/>
          <w:iCs/>
          <w:sz w:val="19"/>
          <w:szCs w:val="19"/>
        </w:rPr>
        <w:t xml:space="preserve">Nota: en la fila de totales, la cantidad 26 corresponde al número de funciones y archivos identificados; el valor 100 es la suma de sus pesos en puntos de función.</w:t>
      </w:r>
    </w:p>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4.8 Factor de ajuste y puntos de función ajustados</w:t>
      </w:r>
    </w:p>
    <w:p>
      <w:pPr>
        <w:spacing w:after="120" w:before="0" w:line="276"/>
      </w:pPr>
      <w:r>
        <w:rPr>
          <w:rFonts w:ascii="Calibri" w:cs="Calibri" w:eastAsia="Calibri" w:hAnsi="Calibri"/>
          <w:sz w:val="22"/>
          <w:szCs w:val="22"/>
        </w:rPr>
        <w:t xml:space="preserve">Aunque la especificación del proyecto solicita únicamente la matriz de conteo, se calculó también el factor de ajuste basado en las catorce características generales del sistema, valoradas de 0 (sin influencia) a 5 (influencia esencial), para obtener una cifra comparable con estimaciones de la industria.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1400"/>
        <w:gridCol w:w="3480"/>
      </w:tblGrid>
      <w:tr>
        <w:trPr>
          <w:tblHeader/>
        </w:trPr>
        <w:tc>
          <w:tcPr>
            <w:tcW w:type="dxa" w:w="5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Característica general del sistema</w:t>
            </w:r>
          </w:p>
        </w:tc>
        <w:tc>
          <w:tcPr>
            <w:tcW w:type="dxa" w:w="1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Valor</w:t>
            </w:r>
          </w:p>
        </w:tc>
        <w:tc>
          <w:tcPr>
            <w:tcW w:type="dxa" w:w="3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Justificación</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 Comunicación de datos</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Conexión JDBC local a MySQL</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2. Procesamiento distribuido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Toda la ejecución ocurre en un solo equipo</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3. Rendimiento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Sin requisitos explícitos de tiempo de respuesta</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4. Configuración fuertemente utilizada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Uso de escritorio, sin restricciones de recursos</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5. Tasa de transacciones</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Volumen bajo, propio de una biblioteca escolar</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6. Entrada de datos en línea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La totalidad de las altas se captura por formularios</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7. Eficiencia del usuario final</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Menú principal, formularios y tablas de consulta</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8. Actualización en línea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Los ALI se actualizan en línea, con commit y rollback</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9. Procesamiento complejo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Validaciones elementales, además defectuosas</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10. Reusabilidad</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Los DAO son reutilizables; la capa gráfica no</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11. Facilidad de instalación</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Requiere instalar y poblar MySQL manualmente</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12. Facilidad de operación</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Sin procesos automatizados de respaldo o arranque</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13. Múltiples sitios</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0</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Diseñado para una sola instalación</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14. Facilidad de cambio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3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Lógica acoplada a la interfaz gráfica</w:t>
            </w:r>
          </w:p>
        </w:tc>
      </w:tr>
      <w:tr>
        <w:tc>
          <w:tcPr>
            <w:tcW w:type="dxa" w:w="52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Grado total de influencia</w:t>
            </w:r>
          </w:p>
        </w:tc>
        <w:tc>
          <w:tcPr>
            <w:tcW w:type="dxa" w:w="14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21</w:t>
            </w:r>
          </w:p>
        </w:tc>
        <w:tc>
          <w:tcPr>
            <w:tcW w:type="dxa" w:w="34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Suma de las catorce características</w:t>
            </w:r>
          </w:p>
        </w:tc>
      </w:tr>
    </w:tbl>
    <w:p>
      <w:pPr>
        <w:spacing w:after="180"/>
      </w:pPr>
      <w:r>
        <w:rPr>
          <w:rFonts w:ascii="Calibri" w:cs="Calibri" w:eastAsia="Calibri" w:hAnsi="Calibri"/>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4880"/>
      </w:tblGrid>
      <w:tr>
        <w:trPr>
          <w:tblHeader/>
        </w:trPr>
        <w:tc>
          <w:tcPr>
            <w:tcW w:type="dxa" w:w="5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Cálculo</w:t>
            </w:r>
          </w:p>
        </w:tc>
        <w:tc>
          <w:tcPr>
            <w:tcW w:type="dxa" w:w="48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Resultado</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Factor de ajuste = 0.65 + (0.01 × 21)</w:t>
            </w:r>
          </w:p>
        </w:tc>
        <w:tc>
          <w:tcPr>
            <w:tcW w:type="dxa" w:w="48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0.86</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Puntos de función ajustados = 100 × 0.86</w:t>
            </w:r>
          </w:p>
        </w:tc>
        <w:tc>
          <w:tcPr>
            <w:tcW w:type="dxa" w:w="48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86 PF</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Relación observada = 3 947 LOC ÷ 100 PFSA</w:t>
            </w:r>
          </w:p>
        </w:tc>
        <w:tc>
          <w:tcPr>
            <w:tcW w:type="dxa" w:w="4880"/>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39.5 LOC por punto de función</w:t>
            </w:r>
          </w:p>
        </w:tc>
      </w:tr>
    </w:tbl>
    <w:p>
      <w:pPr>
        <w:spacing w:after="140"/>
      </w:pPr>
      <w:r>
        <w:rPr>
          <w:rFonts w:ascii="Calibri" w:cs="Calibri" w:eastAsia="Calibri" w:hAnsi="Calibri"/>
        </w:rPr>
        <w:t xml:space="preserve"/>
      </w:r>
    </w:p>
    <w:p>
      <w:pPr>
        <w:spacing w:after="120" w:before="0" w:line="276"/>
      </w:pPr>
      <w:r>
        <w:rPr>
          <w:rFonts w:ascii="Calibri" w:cs="Calibri" w:eastAsia="Calibri" w:hAnsi="Calibri"/>
          <w:sz w:val="22"/>
          <w:szCs w:val="22"/>
        </w:rPr>
        <w:t xml:space="preserve">La relación observada de 39.5 líneas por punto de función se sitúa por debajo del valor de referencia habitual para Java, que suele estimarse en torno a 50 a 55 líneas por punto de función. La lectura correcta no es que el código sea especialmente conciso, sino que buena parte del tamaño del sistema se genera automáticamente y que la funcionalidad real es modesta en relación con el volumen de código que la envuelve.</w:t>
      </w:r>
    </w:p>
    <w:p>
      <w:r>
        <w:br w:type="page"/>
      </w:r>
    </w:p>
    <w:p>
      <w:pPr>
        <w:pStyle w:val="Heading1"/>
        <w:spacing w:after="140" w:before="280"/>
      </w:pPr>
      <w:r>
        <w:rPr>
          <w:rFonts w:ascii="Calibri" w:cs="Calibri" w:eastAsia="Calibri" w:hAnsi="Calibri"/>
          <w:b/>
          <w:bCs/>
          <w:color w:val="1F3864"/>
          <w:sz w:val="30"/>
          <w:szCs w:val="30"/>
        </w:rPr>
        <w:t xml:space="preserve">5. Métricas complementarias de diseño orientado a objetos</w:t>
      </w:r>
    </w:p>
    <w:p>
      <w:pPr>
        <w:spacing w:after="120" w:before="0" w:line="276"/>
      </w:pPr>
      <w:r>
        <w:rPr>
          <w:rFonts w:ascii="Calibri" w:cs="Calibri" w:eastAsia="Calibri" w:hAnsi="Calibri"/>
          <w:sz w:val="22"/>
          <w:szCs w:val="22"/>
        </w:rPr>
        <w:t xml:space="preserve">Esta sección no forma parte de las métricas obligatorias, pero se incorpora porque los datos ya fueron obtenidos con PMD durante el proyecto y refuerzan de manera independiente las conclusiones de las secciones anteriores. Se reportan la complejidad ponderada por clase, entendida como la suma de la complejidad ciclomática de todos sus métodos, y el acoplamiento entre objetos, que cuenta el número de clases distintas de las que depende cada clase.</w:t>
      </w:r>
    </w:p>
    <w:p>
      <w:pPr>
        <w:pStyle w:val="Heading2"/>
        <w:spacing w:after="140" w:before="280"/>
      </w:pPr>
      <w:r>
        <w:rPr>
          <w:rFonts w:ascii="Calibri" w:cs="Calibri" w:eastAsia="Calibri" w:hAnsi="Calibri"/>
          <w:b/>
          <w:bCs/>
          <w:color w:val="1F3864"/>
          <w:sz w:val="25"/>
          <w:szCs w:val="25"/>
        </w:rPr>
        <w:t xml:space="preserve">5.1 Complejidad ponderada por clase (WMC)</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4180"/>
      </w:tblGrid>
      <w:tr>
        <w:trPr>
          <w:tblHeader/>
        </w:trPr>
        <w:tc>
          <w:tcPr>
            <w:tcW w:type="dxa" w:w="36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Clase</w:t>
            </w:r>
          </w:p>
        </w:tc>
        <w:tc>
          <w:tcPr>
            <w:tcW w:type="dxa" w:w="1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WMC</w:t>
            </w:r>
          </w:p>
        </w:tc>
        <w:tc>
          <w:tcPr>
            <w:tcW w:type="dxa" w:w="41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Paquete</w:t>
            </w:r>
          </w:p>
        </w:tc>
      </w:tr>
      <w:tr>
        <w:tc>
          <w:tcPr>
            <w:tcW w:type="dxa" w:w="3600"/>
            <w:shd w:fill="F4CC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GUIPrestamo</w:t>
            </w:r>
          </w:p>
        </w:tc>
        <w:tc>
          <w:tcPr>
            <w:tcW w:type="dxa" w:w="19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53</w:t>
            </w:r>
          </w:p>
        </w:tc>
        <w:tc>
          <w:tcPr>
            <w:tcW w:type="dxa" w:w="41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GUIUsuario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38</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GUILibro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37</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GUIEmpleado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36</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LibroDao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24</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DAOBiblia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DatosLibro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23</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DatosEmpleado / DatosUsuario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22</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GUIBiblia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EmpleadoDao / UsuarioDao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21</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DAOBiblia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Persona</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19</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ClasesBiblia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PrestamoDao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16</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DAOBiblia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Libro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ClasesBiblia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ConexionBD</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DAOBiblia</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5.2 Acoplamiento entre objetos (CBO)</w:t>
      </w:r>
    </w:p>
    <w:tbl>
      <w:tblPr>
        <w:tblW w:type="dxa" w:w="968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4180"/>
      </w:tblGrid>
      <w:tr>
        <w:trPr>
          <w:tblHeader/>
        </w:trPr>
        <w:tc>
          <w:tcPr>
            <w:tcW w:type="dxa" w:w="36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Clase</w:t>
            </w:r>
          </w:p>
        </w:tc>
        <w:tc>
          <w:tcPr>
            <w:tcW w:type="dxa" w:w="1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CBO</w:t>
            </w:r>
          </w:p>
        </w:tc>
        <w:tc>
          <w:tcPr>
            <w:tcW w:type="dxa" w:w="41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Lectura</w:t>
            </w:r>
          </w:p>
        </w:tc>
      </w:tr>
      <w:tr>
        <w:tc>
          <w:tcPr>
            <w:tcW w:type="dxa" w:w="3600"/>
            <w:shd w:fill="F4CC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GUIPrestamo</w:t>
            </w:r>
          </w:p>
        </w:tc>
        <w:tc>
          <w:tcPr>
            <w:tcW w:type="dxa" w:w="190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17</w:t>
            </w:r>
          </w:p>
        </w:tc>
        <w:tc>
          <w:tcPr>
            <w:tcW w:type="dxa" w:w="41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Acoplamiento más alto del sistema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DatosEmpleado / DatosLibro / DatosUsuario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Formularios de consulta y edición</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GUIEmpleado / GUILibro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14</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Formularios de captura</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DatosPrestamo / GUIUsuario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13</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Formularios con acceso a varios DAO</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VentanaMani</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Menú que instancia todas las ventanas</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EmpleadoDao / LibroDao / UsuarioDao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JDBC, entidades y utilidades de archivo</w:t>
            </w:r>
          </w:p>
        </w:tc>
      </w:tr>
      <w:tr>
        <w:tc>
          <w:tcPr>
            <w:tcW w:type="dxa" w:w="36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PrestamoDao</w:t>
            </w:r>
          </w:p>
        </w:tc>
        <w:tc>
          <w:tcPr>
            <w:tcW w:type="dxa" w:w="1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c>
          <w:tcPr>
            <w:tcW w:type="dxa" w:w="41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El DAO menos acoplado</w:t>
            </w:r>
          </w:p>
        </w:tc>
      </w:tr>
    </w:tbl>
    <w:p>
      <w:pPr>
        <w:spacing w:after="200"/>
      </w:pPr>
      <w:r>
        <w:rPr>
          <w:rFonts w:ascii="Calibri" w:cs="Calibri" w:eastAsia="Calibri" w:hAnsi="Calibri"/>
        </w:rPr>
        <w:t xml:space="preserve"/>
      </w:r>
    </w:p>
    <w:p>
      <w:pPr>
        <w:pStyle w:val="Heading2"/>
        <w:spacing w:after="140" w:before="280"/>
      </w:pPr>
      <w:r>
        <w:rPr>
          <w:rFonts w:ascii="Calibri" w:cs="Calibri" w:eastAsia="Calibri" w:hAnsi="Calibri"/>
          <w:b/>
          <w:bCs/>
          <w:color w:val="1F3864"/>
          <w:sz w:val="25"/>
          <w:szCs w:val="25"/>
        </w:rPr>
        <w:t xml:space="preserve">5.3 Interpretación</w:t>
      </w:r>
    </w:p>
    <w:p>
      <w:pPr>
        <w:spacing w:after="120" w:before="0" w:line="276"/>
      </w:pPr>
      <w:r>
        <w:rPr>
          <w:rFonts w:ascii="Calibri" w:cs="Calibri" w:eastAsia="Calibri" w:hAnsi="Calibri"/>
          <w:sz w:val="22"/>
          <w:szCs w:val="22"/>
        </w:rPr>
        <w:t xml:space="preserve">PMD identificó una única clase con indicios de God Class: GUIPrestamo, que además encabeza simultáneamente las dos métricas, con la complejidad ponderada más alta (53) y el acoplamiento más alto (17). Es un resultado coherente con la arquitectura observada: esa clase construye su propia interfaz, valida los datos capturados, invoca directamente al objeto de acceso a datos y presenta los resultados, concentrando responsabilidades que corresponderían a capas distintas.</w:t>
      </w:r>
    </w:p>
    <w:p>
      <w:pPr>
        <w:spacing w:after="120" w:before="0" w:line="276"/>
      </w:pPr>
      <w:r>
        <w:rPr>
          <w:rFonts w:ascii="Calibri" w:cs="Calibri" w:eastAsia="Calibri" w:hAnsi="Calibri"/>
          <w:sz w:val="22"/>
          <w:szCs w:val="22"/>
        </w:rPr>
        <w:t xml:space="preserve">El patrón general es inequívoco. Las nueve clases con mayor complejidad y mayor acoplamiento pertenecen todas al paquete GUIBiblia. Ese mismo paquete concentra el 76 % de las líneas de código y presenta la peor cobertura de ramas del sistema, con 14 %. Las tres mediciones son independientes entre sí, se obtuvieron con tres herramientas distintas y apuntan al mismo diagnóstico: la lógica de negocio está atrapada dentro de la capa de presentación, lo que la vuelve simultáneamente compleja, acoplada y difícil de probar.</w:t>
      </w:r>
    </w:p>
    <w:p>
      <w:pPr>
        <w:spacing w:after="120" w:before="0" w:line="276"/>
      </w:pPr>
      <w:r>
        <w:rPr>
          <w:rFonts w:ascii="Calibri" w:cs="Calibri" w:eastAsia="Calibri" w:hAnsi="Calibri"/>
          <w:sz w:val="22"/>
          <w:szCs w:val="22"/>
        </w:rPr>
        <w:t xml:space="preserve">Debe señalarse una limitación del dato: el reporte de PMD se generó antes de crear la clase AltaLibroConsola, por lo que ese componente no aparece en las tablas anteriores. Conviene volver a ejecutar el target analizar-metricas-clase antes de la entrega final para incorporarlo. También cabe apuntar que no se midió la falta de cohesión entre métodos (LCOM), ya que PMD no la reporta de forma directa; la regla de God Class emplea internamente una medida de cohesión, pero no publica su valor.</w:t>
      </w:r>
    </w:p>
    <w:p>
      <w:r>
        <w:br w:type="page"/>
      </w:r>
    </w:p>
    <w:p>
      <w:pPr>
        <w:pStyle w:val="Heading1"/>
        <w:spacing w:after="140" w:before="280"/>
      </w:pPr>
      <w:r>
        <w:rPr>
          <w:rFonts w:ascii="Calibri" w:cs="Calibri" w:eastAsia="Calibri" w:hAnsi="Calibri"/>
          <w:b/>
          <w:bCs/>
          <w:color w:val="1F3864"/>
          <w:sz w:val="30"/>
          <w:szCs w:val="30"/>
        </w:rPr>
        <w:t xml:space="preserve">6. Análisis crítico</w:t>
      </w:r>
    </w:p>
    <w:p>
      <w:pPr>
        <w:pStyle w:val="Heading2"/>
        <w:spacing w:after="140" w:before="280"/>
      </w:pPr>
      <w:r>
        <w:rPr>
          <w:rFonts w:ascii="Calibri" w:cs="Calibri" w:eastAsia="Calibri" w:hAnsi="Calibri"/>
          <w:b/>
          <w:bCs/>
          <w:color w:val="1F3864"/>
          <w:sz w:val="25"/>
          <w:szCs w:val="25"/>
        </w:rPr>
        <w:t xml:space="preserve">6.1 ¿Qué métrica describe mejor el esfuerzo si tuviéramos que migrar a otro lenguaje?</w:t>
      </w:r>
    </w:p>
    <w:p>
      <w:pPr>
        <w:spacing w:after="120" w:before="0" w:line="276"/>
      </w:pPr>
      <w:r>
        <w:rPr>
          <w:rFonts w:ascii="Calibri" w:cs="Calibri" w:eastAsia="Calibri" w:hAnsi="Calibri"/>
          <w:sz w:val="22"/>
          <w:szCs w:val="22"/>
        </w:rPr>
        <w:t xml:space="preserve">La respuesta que arrojan las mediciones es que los puntos de función describen el esfuerzo de migración mucho mejor que las líneas de código, y el propio sistema ofrece la evidencia para sostenerlo.</w:t>
      </w:r>
    </w:p>
    <w:p>
      <w:pPr>
        <w:spacing w:after="120" w:before="0" w:line="276"/>
      </w:pPr>
      <w:r>
        <w:rPr>
          <w:rFonts w:ascii="Calibri" w:cs="Calibri" w:eastAsia="Calibri" w:hAnsi="Calibri"/>
          <w:sz w:val="22"/>
          <w:szCs w:val="22"/>
        </w:rPr>
        <w:t xml:space="preserve">Si la estimación se basara en LOC, el punto de partida serían 3 947 líneas efectivas. Pero 3 005 de ellas viven en GUIBiblia y en su gran mayoría fueron generadas automáticamente por el editor de formularios de NetBeans. Al migrar a cualquier otro entorno con un diseñador visual equivalente, ya sea C# con Windows Forms, Python con Qt Designer o JavaFX con Scene Builder, ese código no se reescribe: se vuelve a generar arrastrando controles sobre un lienzo. Estimar la migración a partir del total de LOC significaría cobrar como trabajo de programación algo que en realidad es trabajo de diseño visual, sobreestimando el esfuerzo por un factor cercano a cuatro.</w:t>
      </w:r>
    </w:p>
    <w:p>
      <w:pPr>
        <w:spacing w:after="120" w:before="0" w:line="276"/>
      </w:pPr>
      <w:r>
        <w:rPr>
          <w:rFonts w:ascii="Calibri" w:cs="Calibri" w:eastAsia="Calibri" w:hAnsi="Calibri"/>
          <w:sz w:val="22"/>
          <w:szCs w:val="22"/>
        </w:rPr>
        <w:t xml:space="preserve">Los puntos de función, en cambio, miden lo que el sistema hace y no cómo está escrito. Los 100 puntos sin ajustar, o 86 ajustados, describen catorce entradas externas, cuatro salidas, cuatro consultas y cuatro archivos lógicos internos. Esa funcionalidad debe existir en el lenguaje destino exactamente igual, sin importar la sintaxis, el marco de trabajo o la biblioteca gráfica que se utilice. Es precisamente la propiedad que se necesita en una estimación de migración: independencia de la tecnología.</w:t>
      </w:r>
    </w:p>
    <w:p>
      <w:pPr>
        <w:spacing w:after="120" w:before="0" w:line="276"/>
      </w:pPr>
      <w:r>
        <w:rPr>
          <w:rFonts w:ascii="Calibri" w:cs="Calibri" w:eastAsia="Calibri" w:hAnsi="Calibri"/>
          <w:sz w:val="22"/>
          <w:szCs w:val="22"/>
        </w:rPr>
        <w:t xml:space="preserve">Existe además un argumento práctico. La relación entre líneas y puntos de función varía enormemente entre lenguajes: alrededor de 50 líneas por punto de función en Java, cerca de 40 en C#, aproximadamente 25 en Python. Contando 100 puntos de función se puede estimar directamente el tamaño esperado en el lenguaje destino multiplicando por su factor correspondiente. Partiendo de 3 947 líneas de Java no se puede hacer esa conversión sin antes reconstruir el conteo funcional.</w:t>
      </w:r>
    </w:p>
    <w:p>
      <w:pPr>
        <w:spacing w:after="120"/>
      </w:pPr>
      <w:r>
        <w:rPr>
          <w:rFonts w:ascii="Calibri" w:cs="Calibri" w:eastAsia="Calibri" w:hAnsi="Calibri"/>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480"/>
        <w:gridCol w:w="3400"/>
      </w:tblGrid>
      <w:tr>
        <w:trPr>
          <w:tblHeader/>
        </w:trPr>
        <w:tc>
          <w:tcPr>
            <w:tcW w:type="dxa" w:w="3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Criterio</w:t>
            </w:r>
          </w:p>
        </w:tc>
        <w:tc>
          <w:tcPr>
            <w:tcW w:type="dxa" w:w="3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LOC (3 947 líneas)</w:t>
            </w:r>
          </w:p>
        </w:tc>
        <w:tc>
          <w:tcPr>
            <w:tcW w:type="dxa" w:w="3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Puntos de función (100 PFSA)</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Independencia del lenguaje</w:t>
            </w:r>
          </w:p>
        </w:tc>
        <w:tc>
          <w:tcPr>
            <w:tcW w:type="dxa" w:w="34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No</w:t>
            </w:r>
          </w:p>
        </w:tc>
        <w:tc>
          <w:tcPr>
            <w:tcW w:type="dxa" w:w="3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Sí</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Sensible al código autogenerado</w:t>
            </w:r>
          </w:p>
        </w:tc>
        <w:tc>
          <w:tcPr>
            <w:tcW w:type="dxa" w:w="34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Sí, lo cuenta todo</w:t>
            </w:r>
          </w:p>
        </w:tc>
        <w:tc>
          <w:tcPr>
            <w:tcW w:type="dxa" w:w="3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No, cuenta procesos</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Medible antes de escribir código</w:t>
            </w:r>
          </w:p>
        </w:tc>
        <w:tc>
          <w:tcPr>
            <w:tcW w:type="dxa" w:w="34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No</w:t>
            </w:r>
          </w:p>
        </w:tc>
        <w:tc>
          <w:tcPr>
            <w:tcW w:type="dxa" w:w="3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Sí</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Convertible al lenguaje destino</w:t>
            </w:r>
          </w:p>
        </w:tc>
        <w:tc>
          <w:tcPr>
            <w:tcW w:type="dxa" w:w="34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Requiere recontar</w:t>
            </w:r>
          </w:p>
        </w:tc>
        <w:tc>
          <w:tcPr>
            <w:tcW w:type="dxa" w:w="3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Directa</w:t>
            </w:r>
          </w:p>
        </w:tc>
      </w:tr>
      <w:tr>
        <w:tc>
          <w:tcPr>
            <w:tcW w:type="dxa" w:w="3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Costo de obtención</w:t>
            </w:r>
          </w:p>
        </w:tc>
        <w:tc>
          <w:tcPr>
            <w:tcW w:type="dxa" w:w="34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Bajo, automatizable</w:t>
            </w:r>
          </w:p>
        </w:tc>
        <w:tc>
          <w:tcPr>
            <w:tcW w:type="dxa" w:w="340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Alto, análisis manual</w:t>
            </w:r>
          </w:p>
        </w:tc>
      </w:tr>
    </w:tbl>
    <w:p>
      <w:pPr>
        <w:spacing w:after="140"/>
      </w:pPr>
      <w:r>
        <w:rPr>
          <w:rFonts w:ascii="Calibri" w:cs="Calibri" w:eastAsia="Calibri" w:hAnsi="Calibri"/>
        </w:rPr>
        <w:t xml:space="preserve"/>
      </w:r>
    </w:p>
    <w:p>
      <w:pPr>
        <w:spacing w:after="120" w:before="0" w:line="276"/>
      </w:pPr>
      <w:r>
        <w:rPr>
          <w:rFonts w:ascii="Calibri" w:cs="Calibri" w:eastAsia="Calibri" w:hAnsi="Calibri"/>
          <w:sz w:val="22"/>
          <w:szCs w:val="22"/>
        </w:rPr>
        <w:t xml:space="preserve">La conclusión no es que las LOC carezcan de valor. Son baratas de obtener, se automatizan por completo y resultan excelentes para vigilar el crecimiento del código o para localizar dónde se concentra la masa del sistema, que es exactamente el uso que se les dio en este documento. Lo que no deben hacer es fundamentar una estimación de esfuerzo entre tecnologías distintas.</w:t>
      </w:r>
    </w:p>
    <w:p>
      <w:r>
        <w:br w:type="page"/>
      </w:r>
    </w:p>
    <w:p>
      <w:pPr>
        <w:pStyle w:val="Heading2"/>
        <w:spacing w:after="140" w:before="280"/>
      </w:pPr>
      <w:r>
        <w:rPr>
          <w:rFonts w:ascii="Calibri" w:cs="Calibri" w:eastAsia="Calibri" w:hAnsi="Calibri"/>
          <w:b/>
          <w:bCs/>
          <w:color w:val="1F3864"/>
          <w:sz w:val="25"/>
          <w:szCs w:val="25"/>
        </w:rPr>
        <w:t xml:space="preserve">6.2 Productividad simulada: ¿cuántas semanas tomaría expandir el sistema?</w:t>
      </w:r>
    </w:p>
    <w:p>
      <w:pPr>
        <w:spacing w:after="120" w:before="0" w:line="276"/>
      </w:pPr>
      <w:r>
        <w:rPr>
          <w:rFonts w:ascii="Calibri" w:cs="Calibri" w:eastAsia="Calibri" w:hAnsi="Calibri"/>
          <w:sz w:val="22"/>
          <w:szCs w:val="22"/>
        </w:rPr>
        <w:t xml:space="preserve">Para que la estimación sea verificable y no un número abstracto, se define un escenario de expansión concreto y realista para este sistema: incorporar un módulo de multas por retraso en la devolución de libros.</w:t>
      </w:r>
    </w:p>
    <w:p>
      <w:pPr>
        <w:pStyle w:val="Heading3"/>
        <w:spacing w:after="140" w:before="280"/>
      </w:pPr>
      <w:r>
        <w:rPr>
          <w:rFonts w:ascii="Calibri" w:cs="Calibri" w:eastAsia="Calibri" w:hAnsi="Calibri"/>
          <w:b/>
          <w:bCs/>
          <w:color w:val="1F3864"/>
          <w:sz w:val="25"/>
          <w:szCs w:val="25"/>
        </w:rPr>
        <w:t xml:space="preserve">Alcance funcional del módulo propuesto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1400"/>
        <w:gridCol w:w="1400"/>
        <w:gridCol w:w="1780"/>
      </w:tblGrid>
      <w:tr>
        <w:trPr>
          <w:tblHeader/>
        </w:trPr>
        <w:tc>
          <w:tcPr>
            <w:tcW w:type="dxa" w:w="13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Tipo</w:t>
            </w:r>
          </w:p>
        </w:tc>
        <w:tc>
          <w:tcPr>
            <w:tcW w:type="dxa" w:w="42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Función nueva</w:t>
            </w:r>
          </w:p>
        </w:tc>
        <w:tc>
          <w:tcPr>
            <w:tcW w:type="dxa" w:w="1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ALR</w:t>
            </w:r>
          </w:p>
        </w:tc>
        <w:tc>
          <w:tcPr>
            <w:tcW w:type="dxa" w:w="1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TDE</w:t>
            </w:r>
          </w:p>
        </w:tc>
        <w:tc>
          <w:tcPr>
            <w:tcW w:type="dxa" w:w="17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PF</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ALI</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Multa (id, préstamo, monto, días de retraso, estado, fecha)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6</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Generar multa al registrar una devolución con retraso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Registrar el pago de una multa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EE</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Condonar una multa</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SE</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Reporte de multas con total acumulado por usuario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7</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r>
      <w:tr>
        <w:tc>
          <w:tcPr>
            <w:tcW w:type="dxa" w:w="13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CE</w:t>
            </w:r>
          </w:p>
        </w:tc>
        <w:tc>
          <w:tcPr>
            <w:tcW w:type="dxa" w:w="4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Consultar el adeudo vigente de un usuario</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w:t>
            </w:r>
          </w:p>
        </w:tc>
        <w:tc>
          <w:tcPr>
            <w:tcW w:type="dxa" w:w="1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5</w:t>
            </w:r>
          </w:p>
        </w:tc>
        <w:tc>
          <w:tcPr>
            <w:tcW w:type="dxa" w:w="17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3</w:t>
            </w:r>
          </w:p>
        </w:tc>
      </w:tr>
      <w:tr>
        <w:tc>
          <w:tcPr>
            <w:tcW w:type="dxa" w:w="1300"/>
            <w:shd w:fill="DEEAF6"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Total</w:t>
            </w:r>
          </w:p>
        </w:tc>
        <w:tc>
          <w:tcPr>
            <w:tcW w:type="dxa" w:w="42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6 funciones nuevas</w:t>
            </w:r>
          </w:p>
        </w:tc>
        <w:tc>
          <w:tcPr>
            <w:tcW w:type="dxa" w:w="14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40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
            </w:r>
          </w:p>
        </w:tc>
        <w:tc>
          <w:tcPr>
            <w:tcW w:type="dxa" w:w="1780"/>
            <w:shd w:fill="DEEAF6"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25 PFSA</w:t>
            </w:r>
          </w:p>
        </w:tc>
      </w:tr>
    </w:tbl>
    <w:p>
      <w:pPr>
        <w:spacing w:after="140"/>
      </w:pPr>
      <w:r>
        <w:rPr>
          <w:rFonts w:ascii="Calibri" w:cs="Calibri" w:eastAsia="Calibri" w:hAnsi="Calibri"/>
        </w:rPr>
        <w:t xml:space="preserve"/>
      </w:r>
    </w:p>
    <w:p>
      <w:pPr>
        <w:spacing w:after="120" w:before="0" w:line="276"/>
      </w:pPr>
      <w:r>
        <w:rPr>
          <w:rFonts w:ascii="Calibri" w:cs="Calibri" w:eastAsia="Calibri" w:hAnsi="Calibri"/>
          <w:sz w:val="22"/>
          <w:szCs w:val="22"/>
        </w:rPr>
        <w:t xml:space="preserve">Aplicando el mismo factor de ajuste del sistema actual, 25 puntos sin ajustar equivalen a 21.5 puntos de función ajustados, es decir, una expansión del 25 % sobre el tamaño funcional existente.</w:t>
      </w:r>
    </w:p>
    <w:p>
      <w:pPr>
        <w:spacing w:after="120"/>
      </w:pPr>
      <w:r>
        <w:rPr>
          <w:rFonts w:ascii="Calibri" w:cs="Calibri" w:eastAsia="Calibri" w:hAnsi="Calibri"/>
        </w:rPr>
        <w:t xml:space="preserve"/>
      </w:r>
    </w:p>
    <w:p>
      <w:pPr>
        <w:pStyle w:val="Heading3"/>
        <w:spacing w:after="140" w:before="280"/>
      </w:pPr>
      <w:r>
        <w:rPr>
          <w:rFonts w:ascii="Calibri" w:cs="Calibri" w:eastAsia="Calibri" w:hAnsi="Calibri"/>
          <w:b/>
          <w:bCs/>
          <w:color w:val="1F3864"/>
          <w:sz w:val="25"/>
          <w:szCs w:val="25"/>
        </w:rPr>
        <w:t xml:space="preserve">Estimación por puntos de función</w:t>
      </w:r>
    </w:p>
    <w:p>
      <w:pPr>
        <w:spacing w:after="120" w:before="0" w:line="276"/>
      </w:pPr>
      <w:r>
        <w:rPr>
          <w:rFonts w:ascii="Calibri" w:cs="Calibri" w:eastAsia="Calibri" w:hAnsi="Calibri"/>
          <w:sz w:val="22"/>
          <w:szCs w:val="22"/>
        </w:rPr>
        <w:t xml:space="preserve">La productividad de referencia para aplicaciones de escritorio en Java, en equipos pequeños y sin herramientas de generación avanzada, se sitúa entre 8 y 12 puntos de función por persona-mes. Para un equipo de dos integrantes se toma el valor central de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480"/>
      </w:tblGrid>
      <w:tr>
        <w:trPr>
          <w:tblHeader/>
        </w:trPr>
        <w:tc>
          <w:tcPr>
            <w:tcW w:type="dxa" w:w="5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Cálculo</w:t>
            </w:r>
          </w:p>
        </w:tc>
        <w:tc>
          <w:tcPr>
            <w:tcW w:type="dxa" w:w="2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Valor</w:t>
            </w:r>
          </w:p>
        </w:tc>
        <w:tc>
          <w:tcPr>
            <w:tcW w:type="dxa" w:w="2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Supuesto</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Tamaño del módulo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21.5 PF ajustados</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Conteo de la tabla anterior</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Productividad del equipo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10 PF por persona-mes</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Referencia de la industria</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Esfuerzo total</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2.15 persona-mes</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21.5 ÷ 10</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Con dos integrantes</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aprox. 1.1 mes calendario</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Dedicación de tiempo completo</w:t>
            </w:r>
          </w:p>
        </w:tc>
      </w:tr>
      <w:tr>
        <w:tc>
          <w:tcPr>
            <w:tcW w:type="dxa" w:w="5200"/>
            <w:shd w:fill="D9EAD3"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Duración a tiempo completo</w:t>
            </w:r>
          </w:p>
        </w:tc>
        <w:tc>
          <w:tcPr>
            <w:tcW w:type="dxa" w:w="2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aprox. 4.6 semanas</w:t>
            </w:r>
          </w:p>
        </w:tc>
        <w:tc>
          <w:tcPr>
            <w:tcW w:type="dxa" w:w="24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40 h por semana</w:t>
            </w:r>
          </w:p>
        </w:tc>
      </w:tr>
    </w:tbl>
    <w:p>
      <w:pPr>
        <w:spacing w:after="180"/>
      </w:pPr>
      <w:r>
        <w:rPr>
          <w:rFonts w:ascii="Calibri" w:cs="Calibri" w:eastAsia="Calibri" w:hAnsi="Calibri"/>
        </w:rPr>
        <w:t xml:space="preserve"/>
      </w:r>
    </w:p>
    <w:p>
      <w:pPr>
        <w:pStyle w:val="Heading3"/>
        <w:spacing w:after="140" w:before="280"/>
      </w:pPr>
      <w:r>
        <w:rPr>
          <w:rFonts w:ascii="Calibri" w:cs="Calibri" w:eastAsia="Calibri" w:hAnsi="Calibri"/>
          <w:b/>
          <w:bCs/>
          <w:color w:val="1F3864"/>
          <w:sz w:val="25"/>
          <w:szCs w:val="25"/>
        </w:rPr>
        <w:t xml:space="preserve">Estimación por líneas de código</w:t>
      </w:r>
    </w:p>
    <w:p>
      <w:pPr>
        <w:spacing w:after="120" w:before="0" w:line="276"/>
      </w:pPr>
      <w:r>
        <w:rPr>
          <w:rFonts w:ascii="Calibri" w:cs="Calibri" w:eastAsia="Calibri" w:hAnsi="Calibri"/>
          <w:sz w:val="22"/>
          <w:szCs w:val="22"/>
        </w:rPr>
        <w:t xml:space="preserve">Como contraste se realiza una segunda estimación con la relación observada en este mismo sistema, de 39.5 líneas efectivas por punto de función, lo que resulta más fiable que un promedio genérico porque proviene del código real que se va a extender.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480"/>
      </w:tblGrid>
      <w:tr>
        <w:trPr>
          <w:tblHeader/>
        </w:trPr>
        <w:tc>
          <w:tcPr>
            <w:tcW w:type="dxa" w:w="5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Cálculo</w:t>
            </w:r>
          </w:p>
        </w:tc>
        <w:tc>
          <w:tcPr>
            <w:tcW w:type="dxa" w:w="24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Valor</w:t>
            </w:r>
          </w:p>
        </w:tc>
        <w:tc>
          <w:tcPr>
            <w:tcW w:type="dxa" w:w="24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Supuesto</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Tamaño esperado del módulo</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aprox. 988 LOC</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25 PFSA × 39.5 LOC/PF</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Productividad de codificación</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12 LOC por hora</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Incluye pruebas y depuración</w:t>
            </w:r>
          </w:p>
        </w:tc>
      </w:tr>
      <w:tr>
        <w:tc>
          <w:tcPr>
            <w:tcW w:type="dxa" w:w="5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Esfuerzo total</w:t>
            </w:r>
          </w:p>
        </w:tc>
        <w:tc>
          <w:tcPr>
            <w:tcW w:type="dxa" w:w="24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aprox. 82 horas</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988 ÷ 12</w:t>
            </w:r>
          </w:p>
        </w:tc>
      </w:tr>
      <w:tr>
        <w:tc>
          <w:tcPr>
            <w:tcW w:type="dxa" w:w="5200"/>
            <w:shd w:fill="D9EAD3" w:color="auto" w:val="clear"/>
            <w:tcMar>
              <w:top w:type="dxa" w:w="60"/>
              <w:left w:type="dxa" w:w="90"/>
              <w:bottom w:type="dxa" w:w="60"/>
              <w:right w:type="dxa" w:w="90"/>
            </w:tcMar>
            <w:vAlign w:val="center"/>
          </w:tcPr>
          <w:p>
            <w:pPr>
              <w:spacing w:after="20" w:before="20"/>
              <w:jc w:val="left"/>
            </w:pPr>
            <w:r>
              <w:rPr>
                <w:rFonts w:ascii="Calibri" w:cs="Calibri" w:eastAsia="Calibri" w:hAnsi="Calibri"/>
                <w:b/>
                <w:bCs/>
                <w:sz w:val="18"/>
                <w:szCs w:val="18"/>
              </w:rPr>
              <w:t xml:space="preserve">Duración con dos integrantes</w:t>
            </w:r>
          </w:p>
        </w:tc>
        <w:tc>
          <w:tcPr>
            <w:tcW w:type="dxa" w:w="240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aprox. 2 semanas</w:t>
            </w:r>
          </w:p>
        </w:tc>
        <w:tc>
          <w:tcPr>
            <w:tcW w:type="dxa" w:w="24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40 h por semana entre ambos</w:t>
            </w:r>
          </w:p>
        </w:tc>
      </w:tr>
    </w:tbl>
    <w:p>
      <w:pPr>
        <w:spacing w:after="180"/>
      </w:pPr>
      <w:r>
        <w:rPr>
          <w:rFonts w:ascii="Calibri" w:cs="Calibri" w:eastAsia="Calibri" w:hAnsi="Calibri"/>
        </w:rPr>
        <w:t xml:space="preserve"/>
      </w:r>
    </w:p>
    <w:p>
      <w:pPr>
        <w:pStyle w:val="Heading3"/>
        <w:spacing w:after="140" w:before="280"/>
      </w:pPr>
      <w:r>
        <w:rPr>
          <w:rFonts w:ascii="Calibri" w:cs="Calibri" w:eastAsia="Calibri" w:hAnsi="Calibri"/>
          <w:b/>
          <w:bCs/>
          <w:color w:val="1F3864"/>
          <w:sz w:val="25"/>
          <w:szCs w:val="25"/>
        </w:rPr>
        <w:t xml:space="preserve">Reconciliación de ambas estimaciones</w:t>
      </w:r>
    </w:p>
    <w:p>
      <w:pPr>
        <w:spacing w:after="120" w:before="0" w:line="276"/>
      </w:pPr>
      <w:r>
        <w:rPr>
          <w:rFonts w:ascii="Calibri" w:cs="Calibri" w:eastAsia="Calibri" w:hAnsi="Calibri"/>
          <w:sz w:val="22"/>
          <w:szCs w:val="22"/>
        </w:rPr>
        <w:t xml:space="preserve">Las dos cifras difieren por un factor cercano a dos, y esa diferencia es informativa en sí misma. La estimación por líneas de código solo contabiliza el tiempo de escribir código, mientras que la productividad por puntos de función incorpora además el análisis, el diseño, las pruebas, la corrección de defectos y la documentación, que en un proyecto real representan entre la mitad y dos tercios del esfuerzo total.</w:t>
      </w:r>
    </w:p>
    <w:p>
      <w:pPr>
        <w:spacing w:after="120" w:before="0" w:line="276"/>
      </w:pPr>
      <w:r>
        <w:rPr>
          <w:rFonts w:ascii="Calibri" w:cs="Calibri" w:eastAsia="Calibri" w:hAnsi="Calibri"/>
          <w:sz w:val="22"/>
          <w:szCs w:val="22"/>
        </w:rPr>
        <w:t xml:space="preserve">Se adopta por tanto la estimación por puntos de función como cifra de planeación y la de líneas de código como cota inferior optimista, lo que arroja un rango de entre cuatro y cinco semanas a dedicación completa para dos personas.</w:t>
      </w:r>
    </w:p>
    <w:p>
      <w:pPr>
        <w:spacing w:after="120"/>
      </w:pPr>
      <w:r>
        <w:rPr>
          <w:rFonts w:ascii="Calibri" w:cs="Calibri" w:eastAsia="Calibri" w:hAnsi="Calibri"/>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80"/>
      </w:tblGrid>
      <w:tr>
        <w:trPr>
          <w:tblHeader/>
        </w:trPr>
        <w:tc>
          <w:tcPr>
            <w:tcW w:type="dxa" w:w="42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Escenario de dedicación</w:t>
            </w:r>
          </w:p>
        </w:tc>
        <w:tc>
          <w:tcPr>
            <w:tcW w:type="dxa" w:w="29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Horas por semana</w:t>
            </w:r>
          </w:p>
        </w:tc>
        <w:tc>
          <w:tcPr>
            <w:tcW w:type="dxa" w:w="29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Duración estimada</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Equipo de dos, tiempo completo</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80 h (40 c/u)</w:t>
            </w:r>
          </w:p>
        </w:tc>
        <w:tc>
          <w:tcPr>
            <w:tcW w:type="dxa" w:w="2980"/>
            <w:shd w:fill="D9EAD3"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4 a 5 semanas</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Equipo de dos, medio tiempo</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40 h (20 c/u)</w:t>
            </w:r>
          </w:p>
        </w:tc>
        <w:tc>
          <w:tcPr>
            <w:tcW w:type="dxa" w:w="2980"/>
            <w:shd w:fill="FFF2CC"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9 a 10 semanas</w:t>
            </w:r>
          </w:p>
        </w:tc>
      </w:tr>
      <w:tr>
        <w:tc>
          <w:tcPr>
            <w:tcW w:type="dxa" w:w="4200"/>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Equipo de dos, ritmo escolar</w:t>
            </w:r>
          </w:p>
        </w:tc>
        <w:tc>
          <w:tcPr>
            <w:tcW w:type="dxa" w:w="29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20 h (10 c/u)</w:t>
            </w:r>
          </w:p>
        </w:tc>
        <w:tc>
          <w:tcPr>
            <w:tcW w:type="dxa" w:w="2980"/>
            <w:shd w:fill="F4CCCC"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sz w:val="18"/>
                <w:szCs w:val="18"/>
              </w:rPr>
              <w:t xml:space="preserve">18 a 20 semanas</w:t>
            </w:r>
          </w:p>
        </w:tc>
      </w:tr>
    </w:tbl>
    <w:p>
      <w:pPr>
        <w:spacing w:after="140"/>
      </w:pPr>
      <w:r>
        <w:rPr>
          <w:rFonts w:ascii="Calibri" w:cs="Calibri" w:eastAsia="Calibri" w:hAnsi="Calibri"/>
        </w:rPr>
        <w:t xml:space="preserve"/>
      </w:r>
    </w:p>
    <w:p>
      <w:pPr>
        <w:spacing w:after="120" w:before="0" w:line="276"/>
      </w:pPr>
      <w:r>
        <w:rPr>
          <w:rFonts w:ascii="Calibri" w:cs="Calibri" w:eastAsia="Calibri" w:hAnsi="Calibri"/>
          <w:sz w:val="22"/>
          <w:szCs w:val="22"/>
        </w:rPr>
        <w:t xml:space="preserve">El último renglón es el que corresponde a las condiciones reales de un equipo escolar, y explica por qué una expansión que parece modesta, de apenas 25 puntos de función, ocupa prácticamente un semestre completo. Es también el motivo por el que la deuda técnica documentada en este proyecto encarece cualquier ampliación: al no existir una capa de validación separada, cada nueva regla de negocio debe programarse otra vez dentro del formulario correspondiente.</w:t>
      </w:r>
    </w:p>
    <w:p>
      <w:r>
        <w:br w:type="page"/>
      </w:r>
    </w:p>
    <w:p>
      <w:pPr>
        <w:pStyle w:val="Heading2"/>
        <w:spacing w:after="140" w:before="280"/>
      </w:pPr>
      <w:r>
        <w:rPr>
          <w:rFonts w:ascii="Calibri" w:cs="Calibri" w:eastAsia="Calibri" w:hAnsi="Calibri"/>
          <w:b/>
          <w:bCs/>
          <w:color w:val="1F3864"/>
          <w:sz w:val="25"/>
          <w:szCs w:val="25"/>
        </w:rPr>
        <w:t xml:space="preserve">6.3 Conclusiones</w:t>
      </w:r>
    </w:p>
    <w:p>
      <w:pPr>
        <w:spacing w:after="120" w:before="0" w:line="276"/>
      </w:pPr>
      <w:r>
        <w:rPr>
          <w:rFonts w:ascii="Calibri" w:cs="Calibri" w:eastAsia="Calibri" w:hAnsi="Calibri"/>
          <w:sz w:val="22"/>
          <w:szCs w:val="22"/>
        </w:rPr>
        <w:t xml:space="preserve">El sistema BibliotecaIngeSoftware mide 100 puntos de función sin ajustar, equivalentes a 86 ajustados, distribuidos en 3 947 líneas de código efectivas con una densidad de comentarios del 9.55 %, y sus pruebas cubren el 65 % de las líneas pero solamente el 24 % de las ramas de decisión.</w:t>
      </w:r>
    </w:p>
    <w:p>
      <w:pPr>
        <w:spacing w:after="120" w:before="0" w:line="276"/>
      </w:pPr>
      <w:r>
        <w:rPr>
          <w:rFonts w:ascii="Calibri" w:cs="Calibri" w:eastAsia="Calibri" w:hAnsi="Calibri"/>
          <w:sz w:val="22"/>
          <w:szCs w:val="22"/>
        </w:rPr>
        <w:t xml:space="preserve">Las cinco mediciones realizadas convergen en un mismo diagnóstico, lo que refuerza su credibilidad al haberse obtenido con herramientas independientes entre sí. El tamaño del sistema está dominado por código que nadie escribió: el 76 % de las líneas son autogeneradas. La complejidad y el acoplamiento se concentran en la capa gráfica, con GUIPrestamo señalada por PMD como la única God Class. La cobertura de ramas se desploma exactamente en ese mismo lugar, con 14 % en GUIBiblia, porque las reglas de negocio están dentro de métodos privados acoplados a componentes Swing. Y la funcionalidad real, medida en puntos de función, es modesta frente al volumen de código que la envuelve, con 39.5 líneas por punto de función.</w:t>
      </w:r>
    </w:p>
    <w:p>
      <w:pPr>
        <w:spacing w:after="120" w:before="0" w:line="276"/>
      </w:pPr>
      <w:r>
        <w:rPr>
          <w:rFonts w:ascii="Calibri" w:cs="Calibri" w:eastAsia="Calibri" w:hAnsi="Calibri"/>
          <w:sz w:val="22"/>
          <w:szCs w:val="22"/>
        </w:rPr>
        <w:t xml:space="preserve">En contraposición, el único componente diseñado durante este proyecto con la testabilidad como criterio explícito, la clase AltaLibroConsola, alcanza el 88 % de cobertura de instrucciones y el 65 % de ramas siendo el paquete más pequeño del sistema. La diferencia no radica en el esfuerzo de pruebas invertido, sino en una decisión de diseño: separar el método main de un método que recibe sus dependencias por parámetro.</w:t>
      </w:r>
    </w:p>
    <w:p>
      <w:pPr>
        <w:pStyle w:val="Heading2"/>
        <w:spacing w:after="140" w:before="280"/>
      </w:pPr>
      <w:r>
        <w:rPr>
          <w:rFonts w:ascii="Calibri" w:cs="Calibri" w:eastAsia="Calibri" w:hAnsi="Calibri"/>
          <w:b/>
          <w:bCs/>
          <w:color w:val="1F3864"/>
          <w:sz w:val="25"/>
          <w:szCs w:val="25"/>
        </w:rPr>
        <w:t xml:space="preserve">6.4 Recomendaciones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2200"/>
        <w:gridCol w:w="1980"/>
      </w:tblGrid>
      <w:tr>
        <w:trPr>
          <w:tblHeader/>
        </w:trPr>
        <w:tc>
          <w:tcPr>
            <w:tcW w:type="dxa" w:w="1300"/>
            <w:shd w:fill="1F3864" w:color="auto" w:val="clear"/>
            <w:tcMar>
              <w:top w:type="dxa" w:w="60"/>
              <w:left w:type="dxa" w:w="90"/>
              <w:bottom w:type="dxa" w:w="60"/>
              <w:right w:type="dxa" w:w="90"/>
            </w:tcMar>
            <w:vAlign w:val="center"/>
          </w:tcPr>
          <w:p>
            <w:pPr>
              <w:spacing w:after="20" w:before="20"/>
              <w:jc w:val="left"/>
            </w:pPr>
            <w:r>
              <w:rPr>
                <w:rFonts w:ascii="Calibri" w:cs="Calibri" w:eastAsia="Calibri" w:hAnsi="Calibri"/>
                <w:b/>
                <w:bCs/>
                <w:color w:val="FFFFFF"/>
                <w:sz w:val="18"/>
                <w:szCs w:val="18"/>
              </w:rPr>
              <w:t xml:space="preserve">Prioridad</w:t>
            </w:r>
          </w:p>
        </w:tc>
        <w:tc>
          <w:tcPr>
            <w:tcW w:type="dxa" w:w="46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Recomendación</w:t>
            </w:r>
          </w:p>
        </w:tc>
        <w:tc>
          <w:tcPr>
            <w:tcW w:type="dxa" w:w="220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Métrica que la sustenta</w:t>
            </w:r>
          </w:p>
        </w:tc>
        <w:tc>
          <w:tcPr>
            <w:tcW w:type="dxa" w:w="1980"/>
            <w:shd w:fill="1F3864" w:color="auto" w:val="clear"/>
            <w:tcMar>
              <w:top w:type="dxa" w:w="60"/>
              <w:left w:type="dxa" w:w="90"/>
              <w:bottom w:type="dxa" w:w="60"/>
              <w:right w:type="dxa" w:w="90"/>
            </w:tcMar>
            <w:vAlign w:val="center"/>
          </w:tcPr>
          <w:p>
            <w:pPr>
              <w:spacing w:after="20" w:before="20"/>
              <w:jc w:val="center"/>
            </w:pPr>
            <w:r>
              <w:rPr>
                <w:rFonts w:ascii="Calibri" w:cs="Calibri" w:eastAsia="Calibri" w:hAnsi="Calibri"/>
                <w:b/>
                <w:bCs/>
                <w:color w:val="FFFFFF"/>
                <w:sz w:val="18"/>
                <w:szCs w:val="18"/>
              </w:rPr>
              <w:t xml:space="preserve">Impacto esperado</w:t>
            </w:r>
          </w:p>
        </w:tc>
      </w:tr>
      <w:tr>
        <w:tc>
          <w:tcPr>
            <w:tcW w:type="dxa" w:w="1300"/>
            <w:shd w:fill="F4CC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Alta</w:t>
            </w:r>
          </w:p>
        </w:tc>
        <w:tc>
          <w:tcPr>
            <w:tcW w:type="dxa" w:w="4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Extraer las validaciones de GUILibro a una clase ValidadorLibro independiente de Swing</w:t>
            </w:r>
          </w:p>
        </w:tc>
        <w:tc>
          <w:tcPr>
            <w:tcW w:type="dxa" w:w="2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Ramas 14 % en GUIBiblia</w:t>
            </w:r>
          </w:p>
        </w:tc>
        <w:tc>
          <w:tcPr>
            <w:tcW w:type="dxa" w:w="19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Habilita 12 casos de prueba hoy bloqueados</w:t>
            </w:r>
          </w:p>
        </w:tc>
      </w:tr>
      <w:tr>
        <w:tc>
          <w:tcPr>
            <w:tcW w:type="dxa" w:w="1300"/>
            <w:shd w:fill="F4CC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Alta</w:t>
            </w:r>
          </w:p>
        </w:tc>
        <w:tc>
          <w:tcPr>
            <w:tcW w:type="dxa" w:w="4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Corregir las tres validaciones que miden longitud de texto en lugar de valor numérico</w:t>
            </w:r>
          </w:p>
        </w:tc>
        <w:tc>
          <w:tcPr>
            <w:tcW w:type="dxa" w:w="2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Defectos D-06, D-07 y D-08</w:t>
            </w:r>
          </w:p>
        </w:tc>
        <w:tc>
          <w:tcPr>
            <w:tcW w:type="dxa" w:w="19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Elimina la aceptación de datos inválidos</w:t>
            </w:r>
          </w:p>
        </w:tc>
      </w:tr>
      <w:tr>
        <w:tc>
          <w:tcPr>
            <w:tcW w:type="dxa" w:w="1300"/>
            <w:shd w:fill="FFF2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Media</w:t>
            </w:r>
          </w:p>
        </w:tc>
        <w:tc>
          <w:tcPr>
            <w:tcW w:type="dxa" w:w="4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Agregar pruebas a EmpleadoDao y PrestamoDao usando una base de datos de prueba</w:t>
            </w:r>
          </w:p>
        </w:tc>
        <w:tc>
          <w:tcPr>
            <w:tcW w:type="dxa" w:w="2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Cobertura de 17 % y 27 %</w:t>
            </w:r>
          </w:p>
        </w:tc>
        <w:tc>
          <w:tcPr>
            <w:tcW w:type="dxa" w:w="19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Cubre las transacciones con rollback</w:t>
            </w:r>
          </w:p>
        </w:tc>
      </w:tr>
      <w:tr>
        <w:tc>
          <w:tcPr>
            <w:tcW w:type="dxa" w:w="1300"/>
            <w:shd w:fill="FFF2CC"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Media</w:t>
            </w:r>
          </w:p>
        </w:tc>
        <w:tc>
          <w:tcPr>
            <w:tcW w:type="dxa" w:w="4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Dividir GUIPrestamo separando presentación de lógica de préstamo</w:t>
            </w:r>
          </w:p>
        </w:tc>
        <w:tc>
          <w:tcPr>
            <w:tcW w:type="dxa" w:w="2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WMC 53 y CBO 17, God Class</w:t>
            </w:r>
          </w:p>
        </w:tc>
        <w:tc>
          <w:tcPr>
            <w:tcW w:type="dxa" w:w="19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Reduce la clase más riesgosa del sistema</w:t>
            </w:r>
          </w:p>
        </w:tc>
      </w:tr>
      <w:tr>
        <w:tc>
          <w:tcPr>
            <w:tcW w:type="dxa" w:w="1300"/>
            <w:shd w:fill="D9EAD3" w:color="auto" w:val="clear"/>
            <w:tcMar>
              <w:top w:type="dxa" w:w="60"/>
              <w:left w:type="dxa" w:w="90"/>
              <w:bottom w:type="dxa" w:w="60"/>
              <w:right w:type="dxa" w:w="90"/>
            </w:tcMar>
            <w:vAlign w:val="center"/>
          </w:tcPr>
          <w:p>
            <w:pPr>
              <w:spacing w:after="20" w:before="20"/>
              <w:jc w:val="left"/>
            </w:pPr>
            <w:r>
              <w:rPr>
                <w:rFonts w:ascii="Calibri" w:cs="Calibri" w:eastAsia="Calibri" w:hAnsi="Calibri"/>
                <w:sz w:val="18"/>
                <w:szCs w:val="18"/>
              </w:rPr>
              <w:t xml:space="preserve">Baja</w:t>
            </w:r>
          </w:p>
        </w:tc>
        <w:tc>
          <w:tcPr>
            <w:tcW w:type="dxa" w:w="46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Documentar el SQL y el manejo de transacciones de DAOBiblia</w:t>
            </w:r>
          </w:p>
        </w:tc>
        <w:tc>
          <w:tcPr>
            <w:tcW w:type="dxa" w:w="220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Densidad de 5.78 %</w:t>
            </w:r>
          </w:p>
        </w:tc>
        <w:tc>
          <w:tcPr>
            <w:tcW w:type="dxa" w:w="1980"/>
            <w:tcMar>
              <w:top w:type="dxa" w:w="60"/>
              <w:left w:type="dxa" w:w="90"/>
              <w:bottom w:type="dxa" w:w="60"/>
              <w:right w:type="dxa" w:w="90"/>
            </w:tcMar>
            <w:vAlign w:val="center"/>
          </w:tcPr>
          <w:p>
            <w:pPr>
              <w:spacing w:after="20" w:before="20"/>
              <w:jc w:val="center"/>
            </w:pPr>
            <w:r>
              <w:rPr>
                <w:rFonts w:ascii="Calibri" w:cs="Calibri" w:eastAsia="Calibri" w:hAnsi="Calibri"/>
                <w:sz w:val="18"/>
                <w:szCs w:val="18"/>
              </w:rPr>
              <w:t xml:space="preserve">Mejora la mantenibilidad</w:t>
            </w:r>
          </w:p>
        </w:tc>
      </w:tr>
    </w:tbl>
    <w:p>
      <w:pPr>
        <w:spacing w:after="200"/>
      </w:pPr>
      <w:r>
        <w:rPr>
          <w:rFonts w:ascii="Calibri" w:cs="Calibri" w:eastAsia="Calibri" w:hAnsi="Calibri"/>
        </w:rPr>
        <w:t xml:space="preserve"/>
      </w:r>
    </w:p>
    <w:p>
      <w:pPr>
        <w:spacing w:after="120" w:before="0" w:line="276"/>
      </w:pPr>
      <w:r>
        <w:rPr>
          <w:rFonts w:ascii="Calibri" w:cs="Calibri" w:eastAsia="Calibri" w:hAnsi="Calibri"/>
          <w:i/>
          <w:iCs/>
          <w:sz w:val="22"/>
          <w:szCs w:val="22"/>
        </w:rPr>
        <w:t xml:space="preserve">Estas recomendaciones constituyen la base de la propuesta del diagrama UML mejorado que se presenta en la entrega final del proyecto.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5"/>
      <w:szCs w:val="25"/>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3 - Medición y métricas del software</dc:title>
  <dc:creator>Proyecto de Ingeniería de Software - LSCA UV</dc:creator>
  <dc:description>Análisis métrico del sistema BibliotecaIngeSoftware</dc:description>
  <cp:lastModifiedBy>Un-named</cp:lastModifiedBy>
  <cp:revision>1</cp:revision>
  <dcterms:created xsi:type="dcterms:W3CDTF">2026-08-06T03:09:53.009Z</dcterms:created>
  <dcterms:modified xsi:type="dcterms:W3CDTF">2026-08-06T03:09:53.010Z</dcterms:modified>
</cp:coreProperties>
</file>

<file path=docProps/custom.xml><?xml version="1.0" encoding="utf-8"?>
<Properties xmlns="http://schemas.openxmlformats.org/officeDocument/2006/custom-properties" xmlns:vt="http://schemas.openxmlformats.org/officeDocument/2006/docPropsVTypes"/>
</file>