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500"/>
      </w:pPr>
      <w:r>
        <w:rPr>
          <w:rFonts w:ascii="Calibri" w:cs="Calibri" w:eastAsia="Calibri" w:hAnsi="Calibri"/>
        </w:rPr>
        <w:t xml:space="preserve"/>
      </w:r>
    </w:p>
    <w:p>
      <w:pPr>
        <w:spacing w:after="60"/>
        <w:jc w:val="center"/>
      </w:pPr>
      <w:r>
        <w:rPr>
          <w:rFonts w:ascii="Calibri" w:cs="Calibri" w:eastAsia="Calibri" w:hAnsi="Calibri"/>
          <w:b/>
          <w:bCs/>
          <w:color w:val="1F3864"/>
          <w:sz w:val="26"/>
          <w:szCs w:val="26"/>
        </w:rPr>
        <w:t xml:space="preserve">Universidad Veracruzana</w:t>
      </w:r>
    </w:p>
    <w:p>
      <w:pPr>
        <w:spacing w:after="40"/>
        <w:jc w:val="center"/>
      </w:pPr>
      <w:r>
        <w:rPr>
          <w:rFonts w:ascii="Calibri" w:cs="Calibri" w:eastAsia="Calibri" w:hAnsi="Calibri"/>
          <w:sz w:val="22"/>
          <w:szCs w:val="22"/>
        </w:rPr>
        <w:t xml:space="preserve">Facultad de Contaduría y Administración</w:t>
      </w:r>
    </w:p>
    <w:p>
      <w:pPr>
        <w:spacing w:after="40"/>
        <w:jc w:val="center"/>
      </w:pPr>
      <w:r>
        <w:rPr>
          <w:rFonts w:ascii="Calibri" w:cs="Calibri" w:eastAsia="Calibri" w:hAnsi="Calibri"/>
          <w:sz w:val="22"/>
          <w:szCs w:val="22"/>
        </w:rPr>
        <w:t xml:space="preserve">Licenciatura en Sistemas Computacionales Administrativos</w:t>
      </w:r>
    </w:p>
    <w:p>
      <w:pPr>
        <w:spacing w:after="800"/>
        <w:jc w:val="center"/>
      </w:pPr>
      <w:r>
        <w:rPr>
          <w:rFonts w:ascii="Calibri" w:cs="Calibri" w:eastAsia="Calibri" w:hAnsi="Calibri"/>
          <w:i/>
          <w:iCs/>
          <w:sz w:val="22"/>
          <w:szCs w:val="22"/>
        </w:rPr>
        <w:t xml:space="preserve">Experiencia Educativa: Ingeniería de Software</w:t>
      </w:r>
    </w:p>
    <w:p>
      <w:pPr>
        <w:spacing w:after="90"/>
        <w:jc w:val="center"/>
      </w:pPr>
      <w:r>
        <w:rPr>
          <w:rFonts w:ascii="Calibri" w:cs="Calibri" w:eastAsia="Calibri" w:hAnsi="Calibri"/>
          <w:color w:val="666666"/>
          <w:sz w:val="24"/>
          <w:szCs w:val="24"/>
        </w:rPr>
        <w:t xml:space="preserve">Entrega final</w:t>
      </w:r>
    </w:p>
    <w:p>
      <w:pPr>
        <w:spacing w:after="120"/>
        <w:jc w:val="center"/>
      </w:pPr>
      <w:r>
        <w:rPr>
          <w:rFonts w:ascii="Calibri" w:cs="Calibri" w:eastAsia="Calibri" w:hAnsi="Calibri"/>
          <w:b/>
          <w:bCs/>
          <w:color w:val="1F3864"/>
          <w:sz w:val="44"/>
          <w:szCs w:val="44"/>
        </w:rPr>
        <w:t xml:space="preserve">Reporte técnico de calidad</w:t>
      </w:r>
    </w:p>
    <w:p>
      <w:pPr>
        <w:spacing w:after="800"/>
        <w:jc w:val="center"/>
      </w:pPr>
      <w:r>
        <w:rPr>
          <w:rFonts w:ascii="Calibri" w:cs="Calibri" w:eastAsia="Calibri" w:hAnsi="Calibri"/>
          <w:i/>
          <w:iCs/>
          <w:sz w:val="24"/>
          <w:szCs w:val="24"/>
        </w:rPr>
        <w:t xml:space="preserve">Aseguramiento de calidad de un software existente</w:t>
      </w:r>
    </w:p>
    <w:p>
      <w:pPr>
        <w:spacing w:after="50"/>
        <w:jc w:val="center"/>
      </w:pPr>
      <w:r>
        <w:rPr>
          <w:rFonts w:ascii="Calibri" w:cs="Calibri" w:eastAsia="Calibri" w:hAnsi="Calibri"/>
          <w:b/>
          <w:bCs/>
          <w:sz w:val="23"/>
          <w:szCs w:val="23"/>
        </w:rPr>
        <w:t xml:space="preserve">Sistema auditado: BibliotecaIngeSoftware</w:t>
      </w:r>
    </w:p>
    <w:p>
      <w:pPr>
        <w:spacing w:after="50"/>
        <w:jc w:val="center"/>
      </w:pPr>
      <w:r>
        <w:rPr>
          <w:rFonts w:ascii="Calibri" w:cs="Calibri" w:eastAsia="Calibri" w:hAnsi="Calibri"/>
          <w:color w:val="666666"/>
          <w:sz w:val="21"/>
          <w:szCs w:val="21"/>
        </w:rPr>
        <w:t xml:space="preserve">Java SE · Swing · MySQL · JUnit 4</w:t>
      </w:r>
    </w:p>
    <w:p>
      <w:pPr>
        <w:spacing w:after="50"/>
        <w:jc w:val="center"/>
      </w:pPr>
      <w:r>
        <w:rPr>
          <w:rFonts w:ascii="Calibri" w:cs="Calibri" w:eastAsia="Calibri" w:hAnsi="Calibri"/>
          <w:sz w:val="21"/>
          <w:szCs w:val="21"/>
        </w:rPr>
        <w:t xml:space="preserve">Agosto de 2026</w:t>
      </w:r>
    </w:p>
    <w:p>
      <w:r>
        <w:br w:type="page"/>
      </w:r>
    </w:p>
    <w:p>
      <w:pPr>
        <w:pStyle w:val="Heading1"/>
        <w:spacing w:after="120" w:before="240"/>
      </w:pPr>
      <w:r>
        <w:rPr>
          <w:rFonts w:ascii="Calibri" w:cs="Calibri" w:eastAsia="Calibri" w:hAnsi="Calibri"/>
          <w:b/>
          <w:bCs/>
          <w:color w:val="1F3864"/>
          <w:sz w:val="28"/>
          <w:szCs w:val="28"/>
        </w:rPr>
        <w:t xml:space="preserve">Tabla de contenido</w:t>
      </w:r>
    </w:p>
    <w:sdt>
      <w:sdtPr>
        <w:alias w:val="Tabla de contenid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Calibri" w:cs="Calibri" w:eastAsia="Calibri" w:hAnsi="Calibri"/>
          <w:b/>
          <w:bCs/>
          <w:color w:val="1F3864"/>
          <w:sz w:val="28"/>
          <w:szCs w:val="28"/>
        </w:rPr>
        <w:t xml:space="preserve">1. Introducción</w:t>
      </w:r>
    </w:p>
    <w:p>
      <w:pPr>
        <w:spacing w:after="110" w:before="0" w:line="264"/>
      </w:pPr>
      <w:r>
        <w:rPr>
          <w:rFonts w:ascii="Calibri" w:cs="Calibri" w:eastAsia="Calibri" w:hAnsi="Calibri"/>
          <w:sz w:val="21"/>
          <w:szCs w:val="21"/>
        </w:rPr>
        <w:t xml:space="preserve">BibliotecaIngeSoftware es una aplicación de escritorio en Java SE con interfaz Swing construida con el editor de formularios de NetBeans, que administra el catálogo de libros, el padrón de usuarios, la plantilla de empleados y el control de préstamos de una biblioteca escolar. La persistencia es doble: una base MySQL local a la que se accede por JDBC y un respaldo que serializa las mismas entidades a archivos CSV. El código se organiza en cuatro paquetes: ClasesBiblia con las entidades del dominio, DAOBiblia con la persistencia, GUIBiblia con las ventanas y ConsolaBiblia con la interfaz de consola creada durante este proyecto.</w:t>
      </w:r>
    </w:p>
    <w:p>
      <w:pPr>
        <w:spacing w:after="110" w:before="0" w:line="264"/>
      </w:pPr>
      <w:r>
        <w:rPr>
          <w:rFonts w:ascii="Calibri" w:cs="Calibri" w:eastAsia="Calibri" w:hAnsi="Calibri"/>
          <w:sz w:val="21"/>
          <w:szCs w:val="21"/>
        </w:rPr>
        <w:t xml:space="preserve">Este proyecto no desarrolló el sistema: lo auditó. El código base ya existía y el trabajo consistió en modelarlo mediante ingeniería inversa, someterlo a inspección con pruebas automatizadas, medirlo con métricas objetivas y proponer mejoras sustentadas en esas mediciones.</w:t>
      </w:r>
    </w:p>
    <w:p>
      <w:pPr>
        <w:spacing w:after="100"/>
      </w:pPr>
      <w:r>
        <w:rPr>
          <w:rFonts w:ascii="Calibri" w:cs="Calibri" w:eastAsia="Calibri" w:hAnsi="Calibri"/>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tblHeader/>
        </w:trPr>
        <w:tc>
          <w:tcPr>
            <w:tcW w:type="dxa" w:w="2600"/>
            <w:shd w:fill="1F3864" w:color="auto" w:val="clear"/>
            <w:tcMar>
              <w:top w:type="dxa" w:w="45"/>
              <w:left w:type="dxa" w:w="80"/>
              <w:bottom w:type="dxa" w:w="45"/>
              <w:right w:type="dxa" w:w="80"/>
            </w:tcMar>
            <w:vAlign w:val="center"/>
          </w:tcPr>
          <w:p>
            <w:pPr>
              <w:spacing w:after="10" w:before="10"/>
              <w:jc w:val="left"/>
            </w:pPr>
            <w:r>
              <w:rPr>
                <w:rFonts w:ascii="Calibri" w:cs="Calibri" w:eastAsia="Calibri" w:hAnsi="Calibri"/>
                <w:b/>
                <w:bCs/>
                <w:color w:val="FFFFFF"/>
                <w:sz w:val="16"/>
                <w:szCs w:val="16"/>
              </w:rPr>
              <w:t xml:space="preserve">Recurso</w:t>
            </w:r>
          </w:p>
        </w:tc>
        <w:tc>
          <w:tcPr>
            <w:tcW w:type="dxa" w:w="7480"/>
            <w:shd w:fill="1F3864" w:color="auto" w:val="clear"/>
            <w:tcMar>
              <w:top w:type="dxa" w:w="45"/>
              <w:left w:type="dxa" w:w="80"/>
              <w:bottom w:type="dxa" w:w="45"/>
              <w:right w:type="dxa" w:w="80"/>
            </w:tcMar>
            <w:vAlign w:val="center"/>
          </w:tcPr>
          <w:p>
            <w:pPr>
              <w:spacing w:after="10" w:before="10"/>
              <w:jc w:val="center"/>
            </w:pPr>
            <w:r>
              <w:rPr>
                <w:rFonts w:ascii="Calibri" w:cs="Calibri" w:eastAsia="Calibri" w:hAnsi="Calibri"/>
                <w:b/>
                <w:bCs/>
                <w:color w:val="FFFFFF"/>
                <w:sz w:val="16"/>
                <w:szCs w:val="16"/>
              </w:rPr>
              <w:t xml:space="preserve">Dirección</w:t>
            </w:r>
          </w:p>
        </w:tc>
      </w:tr>
      <w:tr>
        <w:tc>
          <w:tcPr>
            <w:tcW w:type="dxa" w:w="2600"/>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Repositorio en GitHub</w:t>
            </w:r>
          </w:p>
        </w:tc>
        <w:tc>
          <w:tcPr>
            <w:tcW w:type="dxa" w:w="748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github.com/yaelink7/Proyecto-Biblioteca-IngenieriaSoftware</w:t>
            </w:r>
          </w:p>
        </w:tc>
      </w:tr>
      <w:tr>
        <w:tc>
          <w:tcPr>
            <w:tcW w:type="dxa" w:w="2600"/>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Tablero ágil Kanban</w:t>
            </w:r>
          </w:p>
        </w:tc>
        <w:tc>
          <w:tcPr>
            <w:tcW w:type="dxa" w:w="748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github.com/users/yaelink7/projects/2</w:t>
            </w:r>
          </w:p>
        </w:tc>
      </w:tr>
      <w:tr>
        <w:tc>
          <w:tcPr>
            <w:tcW w:type="dxa" w:w="2600"/>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Diagramas UML y reporte de cobertura</w:t>
            </w:r>
          </w:p>
        </w:tc>
        <w:tc>
          <w:tcPr>
            <w:tcW w:type="dxa" w:w="748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Carpetas UML y coverage-report del repositorio</w:t>
            </w:r>
          </w:p>
        </w:tc>
      </w:tr>
    </w:tbl>
    <w:p>
      <w:pPr>
        <w:spacing w:after="160"/>
      </w:pPr>
      <w:r>
        <w:rPr>
          <w:rFonts w:ascii="Calibri" w:cs="Calibri" w:eastAsia="Calibri" w:hAnsi="Calibri"/>
        </w:rPr>
        <w:t xml:space="preserve"/>
      </w:r>
    </w:p>
    <w:p>
      <w:pPr>
        <w:pStyle w:val="Heading2"/>
        <w:spacing w:after="120" w:before="240"/>
      </w:pPr>
      <w:r>
        <w:rPr>
          <w:rFonts w:ascii="Calibri" w:cs="Calibri" w:eastAsia="Calibri" w:hAnsi="Calibri"/>
          <w:b/>
          <w:bCs/>
          <w:color w:val="1F3864"/>
          <w:sz w:val="24"/>
          <w:szCs w:val="24"/>
        </w:rPr>
        <w:t xml:space="preserve">1.1 Bitácora de gestión y herramientas CASE</w:t>
      </w:r>
    </w:p>
    <w:p>
      <w:pPr>
        <w:spacing w:after="110" w:before="0" w:line="264"/>
      </w:pPr>
      <w:r>
        <w:rPr>
          <w:rFonts w:ascii="Calibri" w:cs="Calibri" w:eastAsia="Calibri" w:hAnsi="Calibri"/>
          <w:sz w:val="21"/>
          <w:szCs w:val="21"/>
        </w:rPr>
        <w:t xml:space="preserve">El trabajo se organizó en un tablero Kanban público de GitHub Projects con columnas Backlog, Ready, In progress, In review y Done. Las quince actividades del proyecto se dieron de alta como tarjetas y se movieron a Done al completarse, lo que deja registro verificable del flujo de trabajo. El historial de commits del repositorio complementa esa evidencia de administración de la configuración.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00"/>
        <w:gridCol w:w="2500"/>
        <w:gridCol w:w="5480"/>
      </w:tblGrid>
      <w:tr>
        <w:trPr>
          <w:tblHeader/>
        </w:trPr>
        <w:tc>
          <w:tcPr>
            <w:tcW w:type="dxa" w:w="2100"/>
            <w:shd w:fill="1F3864" w:color="auto" w:val="clear"/>
            <w:tcMar>
              <w:top w:type="dxa" w:w="45"/>
              <w:left w:type="dxa" w:w="80"/>
              <w:bottom w:type="dxa" w:w="45"/>
              <w:right w:type="dxa" w:w="80"/>
            </w:tcMar>
            <w:vAlign w:val="center"/>
          </w:tcPr>
          <w:p>
            <w:pPr>
              <w:spacing w:after="10" w:before="10"/>
              <w:jc w:val="left"/>
            </w:pPr>
            <w:r>
              <w:rPr>
                <w:rFonts w:ascii="Calibri" w:cs="Calibri" w:eastAsia="Calibri" w:hAnsi="Calibri"/>
                <w:b/>
                <w:bCs/>
                <w:color w:val="FFFFFF"/>
                <w:sz w:val="16"/>
                <w:szCs w:val="16"/>
              </w:rPr>
              <w:t xml:space="preserve">Categoría</w:t>
            </w:r>
          </w:p>
        </w:tc>
        <w:tc>
          <w:tcPr>
            <w:tcW w:type="dxa" w:w="2500"/>
            <w:shd w:fill="1F3864" w:color="auto" w:val="clear"/>
            <w:tcMar>
              <w:top w:type="dxa" w:w="45"/>
              <w:left w:type="dxa" w:w="80"/>
              <w:bottom w:type="dxa" w:w="45"/>
              <w:right w:type="dxa" w:w="80"/>
            </w:tcMar>
            <w:vAlign w:val="center"/>
          </w:tcPr>
          <w:p>
            <w:pPr>
              <w:spacing w:after="10" w:before="10"/>
              <w:jc w:val="center"/>
            </w:pPr>
            <w:r>
              <w:rPr>
                <w:rFonts w:ascii="Calibri" w:cs="Calibri" w:eastAsia="Calibri" w:hAnsi="Calibri"/>
                <w:b/>
                <w:bCs/>
                <w:color w:val="FFFFFF"/>
                <w:sz w:val="16"/>
                <w:szCs w:val="16"/>
              </w:rPr>
              <w:t xml:space="preserve">Herramienta</w:t>
            </w:r>
          </w:p>
        </w:tc>
        <w:tc>
          <w:tcPr>
            <w:tcW w:type="dxa" w:w="5480"/>
            <w:shd w:fill="1F3864" w:color="auto" w:val="clear"/>
            <w:tcMar>
              <w:top w:type="dxa" w:w="45"/>
              <w:left w:type="dxa" w:w="80"/>
              <w:bottom w:type="dxa" w:w="45"/>
              <w:right w:type="dxa" w:w="80"/>
            </w:tcMar>
            <w:vAlign w:val="center"/>
          </w:tcPr>
          <w:p>
            <w:pPr>
              <w:spacing w:after="10" w:before="10"/>
              <w:jc w:val="center"/>
            </w:pPr>
            <w:r>
              <w:rPr>
                <w:rFonts w:ascii="Calibri" w:cs="Calibri" w:eastAsia="Calibri" w:hAnsi="Calibri"/>
                <w:b/>
                <w:bCs/>
                <w:color w:val="FFFFFF"/>
                <w:sz w:val="16"/>
                <w:szCs w:val="16"/>
              </w:rPr>
              <w:t xml:space="preserve">Uso dentro del proyecto</w:t>
            </w:r>
          </w:p>
        </w:tc>
      </w:tr>
      <w:tr>
        <w:tc>
          <w:tcPr>
            <w:tcW w:type="dxa" w:w="2100"/>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Upper CASE</w:t>
            </w:r>
          </w:p>
        </w:tc>
        <w:tc>
          <w:tcPr>
            <w:tcW w:type="dxa" w:w="25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Visual Paradigm</w:t>
            </w:r>
          </w:p>
        </w:tc>
        <w:tc>
          <w:tcPr>
            <w:tcW w:type="dxa" w:w="548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Ingeniería inversa y diagrama de clases inicial</w:t>
            </w:r>
          </w:p>
        </w:tc>
      </w:tr>
      <w:tr>
        <w:tc>
          <w:tcPr>
            <w:tcW w:type="dxa" w:w="2100"/>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Lower CASE</w:t>
            </w:r>
          </w:p>
        </w:tc>
        <w:tc>
          <w:tcPr>
            <w:tcW w:type="dxa" w:w="25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JUnit 4 + Hamcrest</w:t>
            </w:r>
          </w:p>
        </w:tc>
        <w:tc>
          <w:tcPr>
            <w:tcW w:type="dxa" w:w="548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Suite de 70 pruebas automatizadas, incluida la de caja negra</w:t>
            </w:r>
          </w:p>
        </w:tc>
      </w:tr>
      <w:tr>
        <w:tc>
          <w:tcPr>
            <w:tcW w:type="dxa" w:w="2100"/>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I-CASE</w:t>
            </w:r>
          </w:p>
        </w:tc>
        <w:tc>
          <w:tcPr>
            <w:tcW w:type="dxa" w:w="25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Git y GitHub Projects</w:t>
            </w:r>
          </w:p>
        </w:tc>
        <w:tc>
          <w:tcPr>
            <w:tcW w:type="dxa" w:w="548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Control de versiones y tablero ágil</w:t>
            </w:r>
          </w:p>
        </w:tc>
      </w:tr>
      <w:tr>
        <w:tc>
          <w:tcPr>
            <w:tcW w:type="dxa" w:w="2100"/>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Medición</w:t>
            </w:r>
          </w:p>
        </w:tc>
        <w:tc>
          <w:tcPr>
            <w:tcW w:type="dxa" w:w="25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cloc 1.98 · JaCoCo 0.8.x</w:t>
            </w:r>
          </w:p>
        </w:tc>
        <w:tc>
          <w:tcPr>
            <w:tcW w:type="dxa" w:w="548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Líneas efectivas, densidad de comentarios y cobertura</w:t>
            </w:r>
          </w:p>
        </w:tc>
      </w:tr>
      <w:tr>
        <w:tc>
          <w:tcPr>
            <w:tcW w:type="dxa" w:w="2100"/>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Análisis estático</w:t>
            </w:r>
          </w:p>
        </w:tc>
        <w:tc>
          <w:tcPr>
            <w:tcW w:type="dxa" w:w="25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PMD 7.26.0</w:t>
            </w:r>
          </w:p>
        </w:tc>
        <w:tc>
          <w:tcPr>
            <w:tcW w:type="dxa" w:w="548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Complejidad, acoplamiento y detección de God Class</w:t>
            </w:r>
          </w:p>
        </w:tc>
      </w:tr>
    </w:tbl>
    <w:p>
      <w:pPr>
        <w:sectPr>
          <w:footerReference w:type="default" r:id="rId7"/>
          <w:pgSz w:w="12240" w:h="15840" w:orient="portrait"/>
          <w:pgMar w:top="1000" w:right="1080" w:bottom="1000" w:left="1080" w:header="708" w:footer="708" w:gutter="0"/>
          <w:pgNumType/>
          <w:docGrid w:linePitch="360"/>
        </w:sectPr>
      </w:pPr>
    </w:p>
    <w:p>
      <w:pPr>
        <w:pStyle w:val="Heading1"/>
        <w:spacing w:after="120" w:before="240"/>
      </w:pPr>
      <w:r>
        <w:rPr>
          <w:rFonts w:ascii="Calibri" w:cs="Calibri" w:eastAsia="Calibri" w:hAnsi="Calibri"/>
          <w:b/>
          <w:bCs/>
          <w:color w:val="1F3864"/>
          <w:sz w:val="28"/>
          <w:szCs w:val="28"/>
        </w:rPr>
        <w:t xml:space="preserve">2. Diagramas UML</w:t>
      </w:r>
    </w:p>
    <w:p>
      <w:pPr>
        <w:pStyle w:val="Heading2"/>
        <w:spacing w:after="120" w:before="240"/>
      </w:pPr>
      <w:r>
        <w:rPr>
          <w:rFonts w:ascii="Calibri" w:cs="Calibri" w:eastAsia="Calibri" w:hAnsi="Calibri"/>
          <w:b/>
          <w:bCs/>
          <w:color w:val="1F3864"/>
          <w:sz w:val="24"/>
          <w:szCs w:val="24"/>
        </w:rPr>
        <w:t xml:space="preserve">2.1 Diagrama de clases inicial (ingeniería inversa)</w:t>
      </w:r>
    </w:p>
    <w:p>
      <w:pPr>
        <w:spacing w:after="110" w:before="0" w:line="264"/>
      </w:pPr>
      <w:r>
        <w:rPr>
          <w:rFonts w:ascii="Calibri" w:cs="Calibri" w:eastAsia="Calibri" w:hAnsi="Calibri"/>
          <w:sz w:val="21"/>
          <w:szCs w:val="21"/>
        </w:rPr>
        <w:t xml:space="preserve">Obtenido con la función de ingeniería inversa de Visual Paradigm sobre el código fuente existente, sin intervención manual. La herramienta detectó automáticamente las relaciones de generalización (Usuario y Empleado respecto de Persona, Libro respecto de Publicacion), pero no reportó asociaciones entre las clases de acceso a datos y las entidades: los DAO no guardan referencias permanentes como atributos, sino que reciben y devuelven las entidades en las firmas de sus métodos, lo que constituye una dependencia y no una asociación.</w:t>
      </w:r>
    </w:p>
    <w:p>
      <w:pPr>
        <w:spacing w:after="80" w:before="100"/>
        <w:jc w:val="center"/>
      </w:pPr>
      <w:r>
        <w:drawing>
          <wp:inline distT="0" distB="0" distL="0" distR="0">
            <wp:extent cx="762000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7620000" cy="3343275"/>
                    </a:xfrm>
                    <a:prstGeom prst="rect">
                      <a:avLst/>
                    </a:prstGeom>
                  </pic:spPr>
                </pic:pic>
              </a:graphicData>
            </a:graphic>
          </wp:inline>
        </w:drawing>
      </w:r>
    </w:p>
    <w:p>
      <w:pPr>
        <w:spacing w:after="200"/>
        <w:jc w:val="center"/>
      </w:pPr>
      <w:r>
        <w:rPr>
          <w:rFonts w:ascii="Calibri" w:cs="Calibri" w:eastAsia="Calibri" w:hAnsi="Calibri"/>
          <w:i/>
          <w:iCs/>
          <w:color w:val="666666"/>
          <w:sz w:val="17"/>
          <w:szCs w:val="17"/>
        </w:rPr>
        <w:t xml:space="preserve">Figura 1. Diagrama de clases inicial de los paquetes ClasesBiblia y DAOBiblia.</w:t>
      </w:r>
    </w:p>
    <w:p>
      <w:r>
        <w:br w:type="page"/>
      </w:r>
    </w:p>
    <w:p>
      <w:pPr>
        <w:pStyle w:val="Heading2"/>
        <w:spacing w:after="120" w:before="240"/>
      </w:pPr>
      <w:r>
        <w:rPr>
          <w:rFonts w:ascii="Calibri" w:cs="Calibri" w:eastAsia="Calibri" w:hAnsi="Calibri"/>
          <w:b/>
          <w:bCs/>
          <w:color w:val="1F3864"/>
          <w:sz w:val="24"/>
          <w:szCs w:val="24"/>
        </w:rPr>
        <w:t xml:space="preserve">2.2 Diagrama de clases mejorado (propuesta de diseño)</w:t>
      </w:r>
    </w:p>
    <w:p>
      <w:pPr>
        <w:spacing w:after="110" w:before="0" w:line="264"/>
      </w:pPr>
      <w:r>
        <w:rPr>
          <w:rFonts w:ascii="Calibri" w:cs="Calibri" w:eastAsia="Calibri" w:hAnsi="Calibri"/>
          <w:sz w:val="21"/>
          <w:szCs w:val="21"/>
        </w:rPr>
        <w:t xml:space="preserve">El diagrama mejorado no refleja el código actual sino una propuesta de refactorización, y por eso no puede generarse con ingeniería inversa. Cada elemento nuevo responde a una medición concreta de la sección 7. El código de color distingue en amarillo las clases o interfaces nuevas, en verde las existentes que se modifican y en lila las que no cambian. El archivo UML_Clases_Mejorado.jpg del repositorio permite consultarlo a resolución original.</w:t>
      </w:r>
    </w:p>
    <w:p>
      <w:pPr>
        <w:spacing w:after="80" w:before="100"/>
        <w:jc w:val="center"/>
      </w:pPr>
      <w:r>
        <w:drawing>
          <wp:inline distT="0" distB="0" distL="0" distR="0">
            <wp:extent cx="1000125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001250" cy="3200400"/>
                    </a:xfrm>
                    <a:prstGeom prst="rect">
                      <a:avLst/>
                    </a:prstGeom>
                  </pic:spPr>
                </pic:pic>
              </a:graphicData>
            </a:graphic>
          </wp:inline>
        </w:drawing>
      </w:r>
    </w:p>
    <w:p>
      <w:pPr>
        <w:spacing w:after="200"/>
        <w:jc w:val="center"/>
      </w:pPr>
      <w:r>
        <w:rPr>
          <w:rFonts w:ascii="Calibri" w:cs="Calibri" w:eastAsia="Calibri" w:hAnsi="Calibri"/>
          <w:i/>
          <w:iCs/>
          <w:color w:val="666666"/>
          <w:sz w:val="17"/>
          <w:szCs w:val="17"/>
        </w:rPr>
        <w:t xml:space="preserve">Figura 2. Diagrama de clases mejorado, organizado en cuatro capas.</w:t>
      </w:r>
    </w:p>
    <w:tbl>
      <w:tblPr>
        <w:tblW w:type="dxa" w:w="12080"/>
        <w:tblBorders>
          <w:top w:val="single" w:color="auto" w:sz="4"/>
          <w:left w:val="single" w:color="auto" w:sz="4"/>
          <w:bottom w:val="single" w:color="auto" w:sz="4"/>
          <w:right w:val="single" w:color="auto" w:sz="4"/>
          <w:insideH w:val="single" w:color="auto" w:sz="4"/>
          <w:insideV w:val="single" w:color="auto" w:sz="4"/>
        </w:tblBorders>
      </w:tblPr>
      <w:tblGrid>
        <w:gridCol w:w="700"/>
        <w:gridCol w:w="4300"/>
        <w:gridCol w:w="3600"/>
        <w:gridCol w:w="3480"/>
      </w:tblGrid>
      <w:tr>
        <w:trPr>
          <w:tblHeader/>
        </w:trPr>
        <w:tc>
          <w:tcPr>
            <w:tcW w:type="dxa" w:w="700"/>
            <w:shd w:fill="1F3864" w:color="auto" w:val="clear"/>
            <w:tcMar>
              <w:top w:type="dxa" w:w="45"/>
              <w:left w:type="dxa" w:w="80"/>
              <w:bottom w:type="dxa" w:w="45"/>
              <w:right w:type="dxa" w:w="80"/>
            </w:tcMar>
            <w:vAlign w:val="center"/>
          </w:tcPr>
          <w:p>
            <w:pPr>
              <w:spacing w:after="10" w:before="10"/>
              <w:jc w:val="left"/>
            </w:pPr>
            <w:r>
              <w:rPr>
                <w:rFonts w:ascii="Calibri" w:cs="Calibri" w:eastAsia="Calibri" w:hAnsi="Calibri"/>
                <w:b/>
                <w:bCs/>
                <w:color w:val="FFFFFF"/>
                <w:sz w:val="16"/>
                <w:szCs w:val="16"/>
              </w:rPr>
              <w:t xml:space="preserve">#</w:t>
            </w:r>
          </w:p>
        </w:tc>
        <w:tc>
          <w:tcPr>
            <w:tcW w:type="dxa" w:w="4300"/>
            <w:shd w:fill="1F3864" w:color="auto" w:val="clear"/>
            <w:tcMar>
              <w:top w:type="dxa" w:w="45"/>
              <w:left w:type="dxa" w:w="80"/>
              <w:bottom w:type="dxa" w:w="45"/>
              <w:right w:type="dxa" w:w="80"/>
            </w:tcMar>
            <w:vAlign w:val="center"/>
          </w:tcPr>
          <w:p>
            <w:pPr>
              <w:spacing w:after="10" w:before="10"/>
              <w:jc w:val="center"/>
            </w:pPr>
            <w:r>
              <w:rPr>
                <w:rFonts w:ascii="Calibri" w:cs="Calibri" w:eastAsia="Calibri" w:hAnsi="Calibri"/>
                <w:b/>
                <w:bCs/>
                <w:color w:val="FFFFFF"/>
                <w:sz w:val="16"/>
                <w:szCs w:val="16"/>
              </w:rPr>
              <w:t xml:space="preserve">Cambio propuesto</w:t>
            </w:r>
          </w:p>
        </w:tc>
        <w:tc>
          <w:tcPr>
            <w:tcW w:type="dxa" w:w="3600"/>
            <w:shd w:fill="1F3864" w:color="auto" w:val="clear"/>
            <w:tcMar>
              <w:top w:type="dxa" w:w="45"/>
              <w:left w:type="dxa" w:w="80"/>
              <w:bottom w:type="dxa" w:w="45"/>
              <w:right w:type="dxa" w:w="80"/>
            </w:tcMar>
            <w:vAlign w:val="center"/>
          </w:tcPr>
          <w:p>
            <w:pPr>
              <w:spacing w:after="10" w:before="10"/>
              <w:jc w:val="center"/>
            </w:pPr>
            <w:r>
              <w:rPr>
                <w:rFonts w:ascii="Calibri" w:cs="Calibri" w:eastAsia="Calibri" w:hAnsi="Calibri"/>
                <w:b/>
                <w:bCs/>
                <w:color w:val="FFFFFF"/>
                <w:sz w:val="16"/>
                <w:szCs w:val="16"/>
              </w:rPr>
              <w:t xml:space="preserve">Métrica que lo justifica</w:t>
            </w:r>
          </w:p>
        </w:tc>
        <w:tc>
          <w:tcPr>
            <w:tcW w:type="dxa" w:w="3480"/>
            <w:shd w:fill="1F3864" w:color="auto" w:val="clear"/>
            <w:tcMar>
              <w:top w:type="dxa" w:w="45"/>
              <w:left w:type="dxa" w:w="80"/>
              <w:bottom w:type="dxa" w:w="45"/>
              <w:right w:type="dxa" w:w="80"/>
            </w:tcMar>
            <w:vAlign w:val="center"/>
          </w:tcPr>
          <w:p>
            <w:pPr>
              <w:spacing w:after="10" w:before="10"/>
              <w:jc w:val="center"/>
            </w:pPr>
            <w:r>
              <w:rPr>
                <w:rFonts w:ascii="Calibri" w:cs="Calibri" w:eastAsia="Calibri" w:hAnsi="Calibri"/>
                <w:b/>
                <w:bCs/>
                <w:color w:val="FFFFFF"/>
                <w:sz w:val="16"/>
                <w:szCs w:val="16"/>
              </w:rPr>
              <w:t xml:space="preserve">Efecto esperado</w:t>
            </w:r>
          </w:p>
        </w:tc>
      </w:tr>
      <w:tr>
        <w:tc>
          <w:tcPr>
            <w:tcW w:type="dxa" w:w="700"/>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1</w:t>
            </w:r>
          </w:p>
        </w:tc>
        <w:tc>
          <w:tcPr>
            <w:tcW w:type="dxa" w:w="43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Paquete ReglasDeNegocio con Validador y sus tres subclases</w:t>
            </w:r>
          </w:p>
        </w:tc>
        <w:tc>
          <w:tcPr>
            <w:tcW w:type="dxa" w:w="36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Cobertura de ramas de 14 % en GUIBiblia</w:t>
            </w:r>
          </w:p>
        </w:tc>
        <w:tc>
          <w:tcPr>
            <w:tcW w:type="dxa" w:w="348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Las reglas quedan en clases probables sin GUI</w:t>
            </w:r>
          </w:p>
        </w:tc>
      </w:tr>
      <w:tr>
        <w:tc>
          <w:tcPr>
            <w:tcW w:type="dxa" w:w="700"/>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2</w:t>
            </w:r>
          </w:p>
        </w:tc>
        <w:tc>
          <w:tcPr>
            <w:tcW w:type="dxa" w:w="43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ValidadorLibro con comprobaciones sobre el valor numérico</w:t>
            </w:r>
          </w:p>
        </w:tc>
        <w:tc>
          <w:tcPr>
            <w:tcW w:type="dxa" w:w="36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Defectos D-06, D-07 y D-08</w:t>
            </w:r>
          </w:p>
        </w:tc>
        <w:tc>
          <w:tcPr>
            <w:tcW w:type="dxa" w:w="348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Deja de aceptar datos que sus mensajes dicen rechazar</w:t>
            </w:r>
          </w:p>
        </w:tc>
      </w:tr>
      <w:tr>
        <w:tc>
          <w:tcPr>
            <w:tcW w:type="dxa" w:w="700"/>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3</w:t>
            </w:r>
          </w:p>
        </w:tc>
        <w:tc>
          <w:tcPr>
            <w:tcW w:type="dxa" w:w="43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Interfaz IDao y clase SerializadorCsv</w:t>
            </w:r>
          </w:p>
        </w:tc>
        <w:tc>
          <w:tcPr>
            <w:tcW w:type="dxa" w:w="36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Cobertura de 17 % y 27 % en dos DAO</w:t>
            </w:r>
          </w:p>
        </w:tc>
        <w:tc>
          <w:tcPr>
            <w:tcW w:type="dxa" w:w="348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Los DAO se sustituyen por dobles de prueba</w:t>
            </w:r>
          </w:p>
        </w:tc>
      </w:tr>
      <w:tr>
        <w:tc>
          <w:tcPr>
            <w:tcW w:type="dxa" w:w="700"/>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4</w:t>
            </w:r>
          </w:p>
        </w:tc>
        <w:tc>
          <w:tcPr>
            <w:tcW w:type="dxa" w:w="43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ServicioPrestamo extraído de GUIPrestamo</w:t>
            </w:r>
          </w:p>
        </w:tc>
        <w:tc>
          <w:tcPr>
            <w:tcW w:type="dxa" w:w="36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WMC 53, CBO 17, única God Class</w:t>
            </w:r>
          </w:p>
        </w:tc>
        <w:tc>
          <w:tcPr>
            <w:tcW w:type="dxa" w:w="348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Desaparece la clase más riesgosa</w:t>
            </w:r>
          </w:p>
        </w:tc>
      </w:tr>
      <w:tr>
        <w:tc>
          <w:tcPr>
            <w:tcW w:type="dxa" w:w="700"/>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5</w:t>
            </w:r>
          </w:p>
        </w:tc>
        <w:tc>
          <w:tcPr>
            <w:tcW w:type="dxa" w:w="43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Entidad Prestamo y enumeración EstadoPrestamo</w:t>
            </w:r>
          </w:p>
        </w:tc>
        <w:tc>
          <w:tcPr>
            <w:tcW w:type="dxa" w:w="36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Defectos D-02 y D-03</w:t>
            </w:r>
          </w:p>
        </w:tc>
        <w:tc>
          <w:tcPr>
            <w:tcW w:type="dxa" w:w="348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El préstamo pasa a ser entidad de primera clase</w:t>
            </w:r>
          </w:p>
        </w:tc>
      </w:tr>
    </w:tbl>
    <w:p>
      <w:r>
        <w:br w:type="page"/>
      </w:r>
    </w:p>
    <w:p>
      <w:pPr>
        <w:pStyle w:val="Heading2"/>
        <w:spacing w:after="120" w:before="240"/>
      </w:pPr>
      <w:r>
        <w:rPr>
          <w:rFonts w:ascii="Calibri" w:cs="Calibri" w:eastAsia="Calibri" w:hAnsi="Calibri"/>
          <w:b/>
          <w:bCs/>
          <w:color w:val="1F3864"/>
          <w:sz w:val="24"/>
          <w:szCs w:val="24"/>
        </w:rPr>
        <w:t xml:space="preserve">2.3 Comparación de la arquitectura por capas</w:t>
      </w:r>
    </w:p>
    <w:p>
      <w:pPr>
        <w:spacing w:after="80" w:before="100"/>
        <w:jc w:val="center"/>
      </w:pPr>
      <w:r>
        <w:drawing>
          <wp:inline distT="0" distB="0" distL="0" distR="0">
            <wp:extent cx="5334000" cy="4962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4962525"/>
                    </a:xfrm>
                    <a:prstGeom prst="rect">
                      <a:avLst/>
                    </a:prstGeom>
                  </pic:spPr>
                </pic:pic>
              </a:graphicData>
            </a:graphic>
          </wp:inline>
        </w:drawing>
      </w:r>
    </w:p>
    <w:p>
      <w:pPr>
        <w:spacing w:after="200"/>
        <w:jc w:val="center"/>
      </w:pPr>
      <w:r>
        <w:rPr>
          <w:rFonts w:ascii="Calibri" w:cs="Calibri" w:eastAsia="Calibri" w:hAnsi="Calibri"/>
          <w:i/>
          <w:iCs/>
          <w:color w:val="666666"/>
          <w:sz w:val="17"/>
          <w:szCs w:val="17"/>
        </w:rPr>
        <w:t xml:space="preserve">Figura 3. Arquitectura actual de tres capas frente a la propuesta de cuatro capas, con las métricas de cada una.</w:t>
      </w:r>
    </w:p>
    <w:p>
      <w:r>
        <w:br w:type="page"/>
      </w:r>
    </w:p>
    <w:p>
      <w:pPr>
        <w:pStyle w:val="Heading1"/>
        <w:spacing w:after="120" w:before="240"/>
      </w:pPr>
      <w:r>
        <w:rPr>
          <w:rFonts w:ascii="Calibri" w:cs="Calibri" w:eastAsia="Calibri" w:hAnsi="Calibri"/>
          <w:b/>
          <w:bCs/>
          <w:color w:val="1F3864"/>
          <w:sz w:val="28"/>
          <w:szCs w:val="28"/>
        </w:rPr>
        <w:t xml:space="preserve">3. Matriz de casos de prueba</w:t>
      </w:r>
    </w:p>
    <w:p>
      <w:pPr>
        <w:spacing w:after="110" w:before="0" w:line="264"/>
      </w:pPr>
      <w:r>
        <w:rPr>
          <w:rFonts w:ascii="Calibri" w:cs="Calibri" w:eastAsia="Calibri" w:hAnsi="Calibri"/>
          <w:sz w:val="21"/>
          <w:szCs w:val="21"/>
        </w:rPr>
        <w:t xml:space="preserve">Antes de escribir una sola prueba se identificaron, para cada método bajo análisis, los tres elementos que solicita la especificación: los datos de entrada, el camino feliz en el que el usuario introduce datos correctos y los caminos de excepción en los que los datos violan las reglas, faltan o el entorno falla. Las reglas de negocio no estaban declaradas en ningún documento, por lo que se extrajeron por lectura directa del código. El ejercicio no fue teórico: al derivar los caminos de excepción se detectaron diez defectos reales, documentados en la sección 4.</w:t>
      </w:r>
    </w:p>
    <w:p>
      <w:pPr>
        <w:spacing w:after="100"/>
      </w:pPr>
      <w:r>
        <w:rPr>
          <w:rFonts w:ascii="Calibri" w:cs="Calibri" w:eastAsia="Calibri" w:hAnsi="Calibri"/>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900"/>
        <w:gridCol w:w="2400"/>
        <w:gridCol w:w="2800"/>
        <w:gridCol w:w="1100"/>
        <w:gridCol w:w="2900"/>
        <w:gridCol w:w="3580"/>
      </w:tblGrid>
      <w:tr>
        <w:trPr>
          <w:tblHeader/>
        </w:trPr>
        <w:tc>
          <w:tcPr>
            <w:tcW w:type="dxa" w:w="900"/>
            <w:shd w:fill="1F3864" w:color="auto" w:val="clear"/>
            <w:tcMar>
              <w:top w:type="dxa" w:w="45"/>
              <w:left w:type="dxa" w:w="80"/>
              <w:bottom w:type="dxa" w:w="45"/>
              <w:right w:type="dxa" w:w="80"/>
            </w:tcMar>
            <w:vAlign w:val="center"/>
          </w:tcPr>
          <w:p>
            <w:pPr>
              <w:spacing w:after="10" w:before="10"/>
              <w:jc w:val="left"/>
            </w:pPr>
            <w:r>
              <w:rPr>
                <w:rFonts w:ascii="Calibri" w:cs="Calibri" w:eastAsia="Calibri" w:hAnsi="Calibri"/>
                <w:b/>
                <w:bCs/>
                <w:color w:val="FFFFFF"/>
                <w:sz w:val="16"/>
                <w:szCs w:val="16"/>
              </w:rPr>
              <w:t xml:space="preserve">Prueba</w:t>
            </w:r>
          </w:p>
        </w:tc>
        <w:tc>
          <w:tcPr>
            <w:tcW w:type="dxa" w:w="2400"/>
            <w:shd w:fill="1F3864" w:color="auto" w:val="clear"/>
            <w:tcMar>
              <w:top w:type="dxa" w:w="45"/>
              <w:left w:type="dxa" w:w="80"/>
              <w:bottom w:type="dxa" w:w="45"/>
              <w:right w:type="dxa" w:w="80"/>
            </w:tcMar>
            <w:vAlign w:val="center"/>
          </w:tcPr>
          <w:p>
            <w:pPr>
              <w:spacing w:after="10" w:before="10"/>
              <w:jc w:val="center"/>
            </w:pPr>
            <w:r>
              <w:rPr>
                <w:rFonts w:ascii="Calibri" w:cs="Calibri" w:eastAsia="Calibri" w:hAnsi="Calibri"/>
                <w:b/>
                <w:bCs/>
                <w:color w:val="FFFFFF"/>
                <w:sz w:val="16"/>
                <w:szCs w:val="16"/>
              </w:rPr>
              <w:t xml:space="preserve">Componente / Método</w:t>
            </w:r>
          </w:p>
        </w:tc>
        <w:tc>
          <w:tcPr>
            <w:tcW w:type="dxa" w:w="2800"/>
            <w:shd w:fill="1F3864" w:color="auto" w:val="clear"/>
            <w:tcMar>
              <w:top w:type="dxa" w:w="45"/>
              <w:left w:type="dxa" w:w="80"/>
              <w:bottom w:type="dxa" w:w="45"/>
              <w:right w:type="dxa" w:w="80"/>
            </w:tcMar>
            <w:vAlign w:val="center"/>
          </w:tcPr>
          <w:p>
            <w:pPr>
              <w:spacing w:after="10" w:before="10"/>
              <w:jc w:val="center"/>
            </w:pPr>
            <w:r>
              <w:rPr>
                <w:rFonts w:ascii="Calibri" w:cs="Calibri" w:eastAsia="Calibri" w:hAnsi="Calibri"/>
                <w:b/>
                <w:bCs/>
                <w:color w:val="FFFFFF"/>
                <w:sz w:val="16"/>
                <w:szCs w:val="16"/>
              </w:rPr>
              <w:t xml:space="preserve">Escenario evaluado</w:t>
            </w:r>
          </w:p>
        </w:tc>
        <w:tc>
          <w:tcPr>
            <w:tcW w:type="dxa" w:w="1100"/>
            <w:shd w:fill="1F3864" w:color="auto" w:val="clear"/>
            <w:tcMar>
              <w:top w:type="dxa" w:w="45"/>
              <w:left w:type="dxa" w:w="80"/>
              <w:bottom w:type="dxa" w:w="45"/>
              <w:right w:type="dxa" w:w="80"/>
            </w:tcMar>
            <w:vAlign w:val="center"/>
          </w:tcPr>
          <w:p>
            <w:pPr>
              <w:spacing w:after="10" w:before="10"/>
              <w:jc w:val="center"/>
            </w:pPr>
            <w:r>
              <w:rPr>
                <w:rFonts w:ascii="Calibri" w:cs="Calibri" w:eastAsia="Calibri" w:hAnsi="Calibri"/>
                <w:b/>
                <w:bCs/>
                <w:color w:val="FFFFFF"/>
                <w:sz w:val="16"/>
                <w:szCs w:val="16"/>
              </w:rPr>
              <w:t xml:space="preserve">Tipo</w:t>
            </w:r>
          </w:p>
        </w:tc>
        <w:tc>
          <w:tcPr>
            <w:tcW w:type="dxa" w:w="2900"/>
            <w:shd w:fill="1F3864" w:color="auto" w:val="clear"/>
            <w:tcMar>
              <w:top w:type="dxa" w:w="45"/>
              <w:left w:type="dxa" w:w="80"/>
              <w:bottom w:type="dxa" w:w="45"/>
              <w:right w:type="dxa" w:w="80"/>
            </w:tcMar>
            <w:vAlign w:val="center"/>
          </w:tcPr>
          <w:p>
            <w:pPr>
              <w:spacing w:after="10" w:before="10"/>
              <w:jc w:val="center"/>
            </w:pPr>
            <w:r>
              <w:rPr>
                <w:rFonts w:ascii="Calibri" w:cs="Calibri" w:eastAsia="Calibri" w:hAnsi="Calibri"/>
                <w:b/>
                <w:bCs/>
                <w:color w:val="FFFFFF"/>
                <w:sz w:val="16"/>
                <w:szCs w:val="16"/>
              </w:rPr>
              <w:t xml:space="preserve">Valor de entrada</w:t>
            </w:r>
          </w:p>
        </w:tc>
        <w:tc>
          <w:tcPr>
            <w:tcW w:type="dxa" w:w="3580"/>
            <w:shd w:fill="1F3864" w:color="auto" w:val="clear"/>
            <w:tcMar>
              <w:top w:type="dxa" w:w="45"/>
              <w:left w:type="dxa" w:w="80"/>
              <w:bottom w:type="dxa" w:w="45"/>
              <w:right w:type="dxa" w:w="80"/>
            </w:tcMar>
            <w:vAlign w:val="center"/>
          </w:tcPr>
          <w:p>
            <w:pPr>
              <w:spacing w:after="10" w:before="10"/>
              <w:jc w:val="center"/>
            </w:pPr>
            <w:r>
              <w:rPr>
                <w:rFonts w:ascii="Calibri" w:cs="Calibri" w:eastAsia="Calibri" w:hAnsi="Calibri"/>
                <w:b/>
                <w:bCs/>
                <w:color w:val="FFFFFF"/>
                <w:sz w:val="16"/>
                <w:szCs w:val="16"/>
              </w:rPr>
              <w:t xml:space="preserve">Resultado esperado</w:t>
            </w:r>
          </w:p>
        </w:tc>
      </w:tr>
      <w:tr>
        <w:tc>
          <w:tcPr>
            <w:tcW w:type="dxa" w:w="13680"/>
            <w:gridSpan w:val="6"/>
            <w:shd w:fill="FFF2CC" w:color="auto" w:val="clear"/>
            <w:tcMar>
              <w:top w:type="dxa" w:w="45"/>
              <w:left w:type="dxa" w:w="80"/>
              <w:bottom w:type="dxa" w:w="45"/>
              <w:right w:type="dxa" w:w="80"/>
            </w:tcMar>
            <w:vAlign w:val="center"/>
          </w:tcPr>
          <w:p>
            <w:pPr>
              <w:spacing w:after="10" w:before="10"/>
              <w:jc w:val="left"/>
            </w:pPr>
            <w:r>
              <w:rPr>
                <w:rFonts w:ascii="Calibri" w:cs="Calibri" w:eastAsia="Calibri" w:hAnsi="Calibri"/>
                <w:b/>
                <w:bCs/>
                <w:sz w:val="16"/>
                <w:szCs w:val="16"/>
              </w:rPr>
              <w:t xml:space="preserve">A.1 · Disponibilidad del libro (Libro.setDisponible)</w:t>
            </w:r>
          </w:p>
        </w:tc>
      </w:tr>
      <w:tr>
        <w:tc>
          <w:tcPr>
            <w:tcW w:type="dxa" w:w="900"/>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TC-01</w:t>
            </w:r>
          </w:p>
        </w:tc>
        <w:tc>
          <w:tcPr>
            <w:tcW w:type="dxa" w:w="24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Libro.setDisponible(boolean)</w:t>
            </w:r>
          </w:p>
        </w:tc>
        <w:tc>
          <w:tcPr>
            <w:tcW w:type="dxa" w:w="28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Libro con existencias positivas queda marcado como disponible</w:t>
            </w:r>
          </w:p>
        </w:tc>
        <w:tc>
          <w:tcPr>
            <w:tcW w:type="dxa" w:w="11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Feliz</w:t>
            </w:r>
          </w:p>
        </w:tc>
        <w:tc>
          <w:tcPr>
            <w:tcW w:type="dxa" w:w="29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existencias = 5; setDisponible(true)</w:t>
            </w:r>
          </w:p>
        </w:tc>
        <w:tc>
          <w:tcPr>
            <w:tcW w:type="dxa" w:w="358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isDisponible() devuelve true</w:t>
            </w:r>
          </w:p>
        </w:tc>
      </w:tr>
      <w:tr>
        <w:tc>
          <w:tcPr>
            <w:tcW w:type="dxa" w:w="900"/>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TC-02</w:t>
            </w:r>
          </w:p>
        </w:tc>
        <w:tc>
          <w:tcPr>
            <w:tcW w:type="dxa" w:w="24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Libro.setDisponible(boolean)</w:t>
            </w:r>
          </w:p>
        </w:tc>
        <w:tc>
          <w:tcPr>
            <w:tcW w:type="dxa" w:w="28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Libro sin existencias queda marcado como agotado</w:t>
            </w:r>
          </w:p>
        </w:tc>
        <w:tc>
          <w:tcPr>
            <w:tcW w:type="dxa" w:w="11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Excepción</w:t>
            </w:r>
          </w:p>
        </w:tc>
        <w:tc>
          <w:tcPr>
            <w:tcW w:type="dxa" w:w="29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existencias = 0; setDisponible(true)</w:t>
            </w:r>
          </w:p>
        </w:tc>
        <w:tc>
          <w:tcPr>
            <w:tcW w:type="dxa" w:w="358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isDisponible() devuelve false</w:t>
            </w:r>
          </w:p>
        </w:tc>
      </w:tr>
      <w:tr>
        <w:tc>
          <w:tcPr>
            <w:tcW w:type="dxa" w:w="900"/>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TC-03</w:t>
            </w:r>
          </w:p>
        </w:tc>
        <w:tc>
          <w:tcPr>
            <w:tcW w:type="dxa" w:w="24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Libro.setDisponible(boolean)</w:t>
            </w:r>
          </w:p>
        </w:tc>
        <w:tc>
          <w:tcPr>
            <w:tcW w:type="dxa" w:w="28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Existencias negativas por dato corrupto en la base</w:t>
            </w:r>
          </w:p>
        </w:tc>
        <w:tc>
          <w:tcPr>
            <w:tcW w:type="dxa" w:w="11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Excepción</w:t>
            </w:r>
          </w:p>
        </w:tc>
        <w:tc>
          <w:tcPr>
            <w:tcW w:type="dxa" w:w="29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existencias = -3; setDisponible(true)</w:t>
            </w:r>
          </w:p>
        </w:tc>
        <w:tc>
          <w:tcPr>
            <w:tcW w:type="dxa" w:w="358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isDisponible() devuelve false; el sistema no lo marca como disponible</w:t>
            </w:r>
          </w:p>
        </w:tc>
      </w:tr>
      <w:tr>
        <w:tc>
          <w:tcPr>
            <w:tcW w:type="dxa" w:w="900"/>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TC-04</w:t>
            </w:r>
          </w:p>
        </w:tc>
        <w:tc>
          <w:tcPr>
            <w:tcW w:type="dxa" w:w="24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Libro.setDisponible(boolean)</w:t>
            </w:r>
          </w:p>
        </w:tc>
        <w:tc>
          <w:tcPr>
            <w:tcW w:type="dxa" w:w="28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El valor recibido por parámetro debe respetarse</w:t>
            </w:r>
          </w:p>
        </w:tc>
        <w:tc>
          <w:tcPr>
            <w:tcW w:type="dxa" w:w="11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Excepción</w:t>
            </w:r>
          </w:p>
        </w:tc>
        <w:tc>
          <w:tcPr>
            <w:tcW w:type="dxa" w:w="29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existencias = 5; setDisponible(false)</w:t>
            </w:r>
          </w:p>
        </w:tc>
        <w:tc>
          <w:tcPr>
            <w:tcW w:type="dxa" w:w="358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Por regla: false. Real: devuelve true (D-01)</w:t>
            </w:r>
          </w:p>
        </w:tc>
      </w:tr>
      <w:tr>
        <w:tc>
          <w:tcPr>
            <w:tcW w:type="dxa" w:w="13680"/>
            <w:gridSpan w:val="6"/>
            <w:shd w:fill="FFF2CC" w:color="auto" w:val="clear"/>
            <w:tcMar>
              <w:top w:type="dxa" w:w="45"/>
              <w:left w:type="dxa" w:w="80"/>
              <w:bottom w:type="dxa" w:w="45"/>
              <w:right w:type="dxa" w:w="80"/>
            </w:tcMar>
            <w:vAlign w:val="center"/>
          </w:tcPr>
          <w:p>
            <w:pPr>
              <w:spacing w:after="10" w:before="10"/>
              <w:jc w:val="left"/>
            </w:pPr>
            <w:r>
              <w:rPr>
                <w:rFonts w:ascii="Calibri" w:cs="Calibri" w:eastAsia="Calibri" w:hAnsi="Calibri"/>
                <w:b/>
                <w:bCs/>
                <w:sz w:val="16"/>
                <w:szCs w:val="16"/>
              </w:rPr>
              <w:t xml:space="preserve">A.2 · Serialización a CSV (Libro.toStringLibro)</w:t>
            </w:r>
          </w:p>
        </w:tc>
      </w:tr>
      <w:tr>
        <w:tc>
          <w:tcPr>
            <w:tcW w:type="dxa" w:w="900"/>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TC-05</w:t>
            </w:r>
          </w:p>
        </w:tc>
        <w:tc>
          <w:tcPr>
            <w:tcW w:type="dxa" w:w="24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Libro.toStringLibro()</w:t>
            </w:r>
          </w:p>
        </w:tc>
        <w:tc>
          <w:tcPr>
            <w:tcW w:type="dxa" w:w="28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Serialización de un libro completo a línea CSV</w:t>
            </w:r>
          </w:p>
        </w:tc>
        <w:tc>
          <w:tcPr>
            <w:tcW w:type="dxa" w:w="11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Feliz</w:t>
            </w:r>
          </w:p>
        </w:tc>
        <w:tc>
          <w:tcPr>
            <w:tcW w:type="dxa" w:w="29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Libro(1, "El Quijote", "Cervantes", "Novela", "Planeta", 3, 1605, 863, true)</w:t>
            </w:r>
          </w:p>
        </w:tc>
        <w:tc>
          <w:tcPr>
            <w:tcW w:type="dxa" w:w="358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Cadena con 9 campos separados por coma, en el orden del encabezado</w:t>
            </w:r>
          </w:p>
        </w:tc>
      </w:tr>
      <w:tr>
        <w:tc>
          <w:tcPr>
            <w:tcW w:type="dxa" w:w="900"/>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TC-06</w:t>
            </w:r>
          </w:p>
        </w:tc>
        <w:tc>
          <w:tcPr>
            <w:tcW w:type="dxa" w:w="24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Libro.toStringLibro()</w:t>
            </w:r>
          </w:p>
        </w:tc>
        <w:tc>
          <w:tcPr>
            <w:tcW w:type="dxa" w:w="28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Título que contiene una coma rompe el formato CSV</w:t>
            </w:r>
          </w:p>
        </w:tc>
        <w:tc>
          <w:tcPr>
            <w:tcW w:type="dxa" w:w="11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Excepción</w:t>
            </w:r>
          </w:p>
        </w:tc>
        <w:tc>
          <w:tcPr>
            <w:tcW w:type="dxa" w:w="29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titulo = "Cien años, edición especial"</w:t>
            </w:r>
          </w:p>
        </w:tc>
        <w:tc>
          <w:tcPr>
            <w:tcW w:type="dxa" w:w="358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Por regla: escapar y conservar 9 columnas. Real: genera 10 (D-02)</w:t>
            </w:r>
          </w:p>
        </w:tc>
      </w:tr>
      <w:tr>
        <w:tc>
          <w:tcPr>
            <w:tcW w:type="dxa" w:w="900"/>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TC-07</w:t>
            </w:r>
          </w:p>
        </w:tc>
        <w:tc>
          <w:tcPr>
            <w:tcW w:type="dxa" w:w="24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Libro.toStringLibro()</w:t>
            </w:r>
          </w:p>
        </w:tc>
        <w:tc>
          <w:tcPr>
            <w:tcW w:type="dxa" w:w="28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Atributos de texto en valor nulo</w:t>
            </w:r>
          </w:p>
        </w:tc>
        <w:tc>
          <w:tcPr>
            <w:tcW w:type="dxa" w:w="11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Excepción</w:t>
            </w:r>
          </w:p>
        </w:tc>
        <w:tc>
          <w:tcPr>
            <w:tcW w:type="dxa" w:w="29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titulo = null; autor = null</w:t>
            </w:r>
          </w:p>
        </w:tc>
        <w:tc>
          <w:tcPr>
            <w:tcW w:type="dxa" w:w="358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No lanza NullPointerException; concatena el literal "null"</w:t>
            </w:r>
          </w:p>
        </w:tc>
      </w:tr>
      <w:tr>
        <w:tc>
          <w:tcPr>
            <w:tcW w:type="dxa" w:w="13680"/>
            <w:gridSpan w:val="6"/>
            <w:shd w:fill="FFF2CC" w:color="auto" w:val="clear"/>
            <w:tcMar>
              <w:top w:type="dxa" w:w="45"/>
              <w:left w:type="dxa" w:w="80"/>
              <w:bottom w:type="dxa" w:w="45"/>
              <w:right w:type="dxa" w:w="80"/>
            </w:tcMar>
            <w:vAlign w:val="center"/>
          </w:tcPr>
          <w:p>
            <w:pPr>
              <w:spacing w:after="10" w:before="10"/>
              <w:jc w:val="left"/>
            </w:pPr>
            <w:r>
              <w:rPr>
                <w:rFonts w:ascii="Calibri" w:cs="Calibri" w:eastAsia="Calibri" w:hAnsi="Calibri"/>
                <w:b/>
                <w:bCs/>
                <w:sz w:val="16"/>
                <w:szCs w:val="16"/>
              </w:rPr>
              <w:t xml:space="preserve">A.3 · Clase Publicacion</w:t>
            </w:r>
          </w:p>
        </w:tc>
      </w:tr>
      <w:tr>
        <w:tc>
          <w:tcPr>
            <w:tcW w:type="dxa" w:w="900"/>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TC-08</w:t>
            </w:r>
          </w:p>
        </w:tc>
        <w:tc>
          <w:tcPr>
            <w:tcW w:type="dxa" w:w="24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Publicacion (constructor 5 arg.)</w:t>
            </w:r>
          </w:p>
        </w:tc>
        <w:tc>
          <w:tcPr>
            <w:tcW w:type="dxa" w:w="28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Alta de publicación recuperada de la base con id asignado</w:t>
            </w:r>
          </w:p>
        </w:tc>
        <w:tc>
          <w:tcPr>
            <w:tcW w:type="dxa" w:w="11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Feliz</w:t>
            </w:r>
          </w:p>
        </w:tc>
        <w:tc>
          <w:tcPr>
            <w:tcW w:type="dxa" w:w="29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(10, "Título", "Autor", 2020, 4)</w:t>
            </w:r>
          </w:p>
        </w:tc>
        <w:tc>
          <w:tcPr>
            <w:tcW w:type="dxa" w:w="358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getIdLibro() = 10 y getExistencias() = 4</w:t>
            </w:r>
          </w:p>
        </w:tc>
      </w:tr>
      <w:tr>
        <w:tc>
          <w:tcPr>
            <w:tcW w:type="dxa" w:w="900"/>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TC-09</w:t>
            </w:r>
          </w:p>
        </w:tc>
        <w:tc>
          <w:tcPr>
            <w:tcW w:type="dxa" w:w="24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Publicacion (constructor 4 arg.)</w:t>
            </w:r>
          </w:p>
        </w:tc>
        <w:tc>
          <w:tcPr>
            <w:tcW w:type="dxa" w:w="28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Alta de publicación nueva, aún sin id de base de datos</w:t>
            </w:r>
          </w:p>
        </w:tc>
        <w:tc>
          <w:tcPr>
            <w:tcW w:type="dxa" w:w="11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Excepción</w:t>
            </w:r>
          </w:p>
        </w:tc>
        <w:tc>
          <w:tcPr>
            <w:tcW w:type="dxa" w:w="29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("Título", "Autor", 2020, 4)</w:t>
            </w:r>
          </w:p>
        </w:tc>
        <w:tc>
          <w:tcPr>
            <w:tcW w:type="dxa" w:w="358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getIdLibro() = 0, indicando id no asignado todavía</w:t>
            </w:r>
          </w:p>
        </w:tc>
      </w:tr>
      <w:tr>
        <w:tc>
          <w:tcPr>
            <w:tcW w:type="dxa" w:w="900"/>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TC-10</w:t>
            </w:r>
          </w:p>
        </w:tc>
        <w:tc>
          <w:tcPr>
            <w:tcW w:type="dxa" w:w="24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getPublicacion() / getAnoPublicacion()</w:t>
            </w:r>
          </w:p>
        </w:tc>
        <w:tc>
          <w:tcPr>
            <w:tcW w:type="dxa" w:w="28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Dos getters distintos exponen el mismo atributo</w:t>
            </w:r>
          </w:p>
        </w:tc>
        <w:tc>
          <w:tcPr>
            <w:tcW w:type="dxa" w:w="11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Excepción</w:t>
            </w:r>
          </w:p>
        </w:tc>
        <w:tc>
          <w:tcPr>
            <w:tcW w:type="dxa" w:w="29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anoPublicacion = 1999</w:t>
            </w:r>
          </w:p>
        </w:tc>
        <w:tc>
          <w:tcPr>
            <w:tcW w:type="dxa" w:w="358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Ambos devuelven 1999; se documenta la duplicación (D-03)</w:t>
            </w:r>
          </w:p>
        </w:tc>
      </w:tr>
      <w:tr>
        <w:tc>
          <w:tcPr>
            <w:tcW w:type="dxa" w:w="13680"/>
            <w:gridSpan w:val="6"/>
            <w:shd w:fill="FFF2CC" w:color="auto" w:val="clear"/>
            <w:tcMar>
              <w:top w:type="dxa" w:w="45"/>
              <w:left w:type="dxa" w:w="80"/>
              <w:bottom w:type="dxa" w:w="45"/>
              <w:right w:type="dxa" w:w="80"/>
            </w:tcMar>
            <w:vAlign w:val="center"/>
          </w:tcPr>
          <w:p>
            <w:pPr>
              <w:spacing w:after="10" w:before="10"/>
              <w:jc w:val="left"/>
            </w:pPr>
            <w:r>
              <w:rPr>
                <w:rFonts w:ascii="Calibri" w:cs="Calibri" w:eastAsia="Calibri" w:hAnsi="Calibri"/>
                <w:b/>
                <w:bCs/>
                <w:sz w:val="16"/>
                <w:szCs w:val="16"/>
              </w:rPr>
              <w:t xml:space="preserve">A.4 · Herencia Persona / Usuario / Empleado</w:t>
            </w:r>
          </w:p>
        </w:tc>
      </w:tr>
      <w:tr>
        <w:tc>
          <w:tcPr>
            <w:tcW w:type="dxa" w:w="900"/>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TC-11</w:t>
            </w:r>
          </w:p>
        </w:tc>
        <w:tc>
          <w:tcPr>
            <w:tcW w:type="dxa" w:w="24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Usuario.toStringUsuario()</w:t>
            </w:r>
          </w:p>
        </w:tc>
        <w:tc>
          <w:tcPr>
            <w:tcW w:type="dxa" w:w="28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Serialización de usuario heredando los datos de Persona</w:t>
            </w:r>
          </w:p>
        </w:tc>
        <w:tc>
          <w:tcPr>
            <w:tcW w:type="dxa" w:w="11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Feliz</w:t>
            </w:r>
          </w:p>
        </w:tc>
        <w:tc>
          <w:tcPr>
            <w:tcW w:type="dxa" w:w="29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Usuario con los 9 atributos llenos</w:t>
            </w:r>
          </w:p>
        </w:tc>
        <w:tc>
          <w:tcPr>
            <w:tcW w:type="dxa" w:w="358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Cadena de 9 campos con el teléfono en la octava posición</w:t>
            </w:r>
          </w:p>
        </w:tc>
      </w:tr>
      <w:tr>
        <w:tc>
          <w:tcPr>
            <w:tcW w:type="dxa" w:w="900"/>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TC-12</w:t>
            </w:r>
          </w:p>
        </w:tc>
        <w:tc>
          <w:tcPr>
            <w:tcW w:type="dxa" w:w="24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Empleado.toStringUsuario()</w:t>
            </w:r>
          </w:p>
        </w:tc>
        <w:tc>
          <w:tcPr>
            <w:tcW w:type="dxa" w:w="28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Serialización de empleado heredando los datos de Persona</w:t>
            </w:r>
          </w:p>
        </w:tc>
        <w:tc>
          <w:tcPr>
            <w:tcW w:type="dxa" w:w="11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Feliz</w:t>
            </w:r>
          </w:p>
        </w:tc>
        <w:tc>
          <w:tcPr>
            <w:tcW w:type="dxa" w:w="29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Empleado con los 9 atributos llenos</w:t>
            </w:r>
          </w:p>
        </w:tc>
        <w:tc>
          <w:tcPr>
            <w:tcW w:type="dxa" w:w="358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Cadena de 9 campos con tipoEmpleado en la novena posición</w:t>
            </w:r>
          </w:p>
        </w:tc>
      </w:tr>
      <w:tr>
        <w:tc>
          <w:tcPr>
            <w:tcW w:type="dxa" w:w="900"/>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TC-13</w:t>
            </w:r>
          </w:p>
        </w:tc>
        <w:tc>
          <w:tcPr>
            <w:tcW w:type="dxa" w:w="24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Persona (constructor 7 arg.)</w:t>
            </w:r>
          </w:p>
        </w:tc>
        <w:tc>
          <w:tcPr>
            <w:tcW w:type="dxa" w:w="28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Alta de persona nueva sin identificador</w:t>
            </w:r>
          </w:p>
        </w:tc>
        <w:tc>
          <w:tcPr>
            <w:tcW w:type="dxa" w:w="11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Excepción</w:t>
            </w:r>
          </w:p>
        </w:tc>
        <w:tc>
          <w:tcPr>
            <w:tcW w:type="dxa" w:w="29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Constructor sin el parámetro de id</w:t>
            </w:r>
          </w:p>
        </w:tc>
        <w:tc>
          <w:tcPr>
            <w:tcW w:type="dxa" w:w="358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getId() = 0, indicando que la base aún no asigna el id</w:t>
            </w:r>
          </w:p>
        </w:tc>
      </w:tr>
      <w:tr>
        <w:tc>
          <w:tcPr>
            <w:tcW w:type="dxa" w:w="13680"/>
            <w:gridSpan w:val="6"/>
            <w:shd w:fill="FFF2CC" w:color="auto" w:val="clear"/>
            <w:tcMar>
              <w:top w:type="dxa" w:w="45"/>
              <w:left w:type="dxa" w:w="80"/>
              <w:bottom w:type="dxa" w:w="45"/>
              <w:right w:type="dxa" w:w="80"/>
            </w:tcMar>
            <w:vAlign w:val="center"/>
          </w:tcPr>
          <w:p>
            <w:pPr>
              <w:spacing w:after="10" w:before="10"/>
              <w:jc w:val="left"/>
            </w:pPr>
            <w:r>
              <w:rPr>
                <w:rFonts w:ascii="Calibri" w:cs="Calibri" w:eastAsia="Calibri" w:hAnsi="Calibri"/>
                <w:b/>
                <w:bCs/>
                <w:sz w:val="16"/>
                <w:szCs w:val="16"/>
              </w:rPr>
              <w:t xml:space="preserve">A.5 · Persistencia en archivos CSV</w:t>
            </w:r>
          </w:p>
        </w:tc>
      </w:tr>
      <w:tr>
        <w:tc>
          <w:tcPr>
            <w:tcW w:type="dxa" w:w="900"/>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TC-14</w:t>
            </w:r>
          </w:p>
        </w:tc>
        <w:tc>
          <w:tcPr>
            <w:tcW w:type="dxa" w:w="24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LibroDao.guardarLibrosCSV() / cargarLibrosCSV()</w:t>
            </w:r>
          </w:p>
        </w:tc>
        <w:tc>
          <w:tcPr>
            <w:tcW w:type="dxa" w:w="28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Ida y vuelta completa de dos libros a través del archivo CSV</w:t>
            </w:r>
          </w:p>
        </w:tc>
        <w:tc>
          <w:tcPr>
            <w:tcW w:type="dxa" w:w="11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Feliz</w:t>
            </w:r>
          </w:p>
        </w:tc>
        <w:tc>
          <w:tcPr>
            <w:tcW w:type="dxa" w:w="29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Lista con 2 libros válidos</w:t>
            </w:r>
          </w:p>
        </w:tc>
        <w:tc>
          <w:tcPr>
            <w:tcW w:type="dxa" w:w="358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Se recuperan 2 libros con los mismos valores que se guardaron</w:t>
            </w:r>
          </w:p>
        </w:tc>
      </w:tr>
      <w:tr>
        <w:tc>
          <w:tcPr>
            <w:tcW w:type="dxa" w:w="900"/>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TC-15</w:t>
            </w:r>
          </w:p>
        </w:tc>
        <w:tc>
          <w:tcPr>
            <w:tcW w:type="dxa" w:w="24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LibroDao.cargarLibrosCSV()</w:t>
            </w:r>
          </w:p>
        </w:tc>
        <w:tc>
          <w:tcPr>
            <w:tcW w:type="dxa" w:w="28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El archivo de respaldo todavía no existe</w:t>
            </w:r>
          </w:p>
        </w:tc>
        <w:tc>
          <w:tcPr>
            <w:tcW w:type="dxa" w:w="11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Excepción</w:t>
            </w:r>
          </w:p>
        </w:tc>
        <w:tc>
          <w:tcPr>
            <w:tcW w:type="dxa" w:w="29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Ruta a un archivo inexistente</w:t>
            </w:r>
          </w:p>
        </w:tc>
        <w:tc>
          <w:tcPr>
            <w:tcW w:type="dxa" w:w="358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Crea el archivo vacío y devuelve lista vacía, sin lanzar excepción</w:t>
            </w:r>
          </w:p>
        </w:tc>
      </w:tr>
      <w:tr>
        <w:tc>
          <w:tcPr>
            <w:tcW w:type="dxa" w:w="900"/>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TC-16</w:t>
            </w:r>
          </w:p>
        </w:tc>
        <w:tc>
          <w:tcPr>
            <w:tcW w:type="dxa" w:w="24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LibroDao.cargarLibrosCSV()</w:t>
            </w:r>
          </w:p>
        </w:tc>
        <w:tc>
          <w:tcPr>
            <w:tcW w:type="dxa" w:w="28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Línea con un número de columnas distinto al esperado</w:t>
            </w:r>
          </w:p>
        </w:tc>
        <w:tc>
          <w:tcPr>
            <w:tcW w:type="dxa" w:w="11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Excepción</w:t>
            </w:r>
          </w:p>
        </w:tc>
        <w:tc>
          <w:tcPr>
            <w:tcW w:type="dxa" w:w="29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Línea con 7 campos en lugar de 9</w:t>
            </w:r>
          </w:p>
        </w:tc>
        <w:tc>
          <w:tcPr>
            <w:tcW w:type="dxa" w:w="358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Por regla: reportar la línea inválida. Real: la descarta en silencio (D-04)</w:t>
            </w:r>
          </w:p>
        </w:tc>
      </w:tr>
      <w:tr>
        <w:tc>
          <w:tcPr>
            <w:tcW w:type="dxa" w:w="900"/>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TC-17</w:t>
            </w:r>
          </w:p>
        </w:tc>
        <w:tc>
          <w:tcPr>
            <w:tcW w:type="dxa" w:w="24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LibroDao.cargarLibrosCSV()</w:t>
            </w:r>
          </w:p>
        </w:tc>
        <w:tc>
          <w:tcPr>
            <w:tcW w:type="dxa" w:w="28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Campo numérico contiene texto</w:t>
            </w:r>
          </w:p>
        </w:tc>
        <w:tc>
          <w:tcPr>
            <w:tcW w:type="dxa" w:w="11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Excepción</w:t>
            </w:r>
          </w:p>
        </w:tc>
        <w:tc>
          <w:tcPr>
            <w:tcW w:type="dxa" w:w="29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Columna Existencias con el valor "abc"</w:t>
            </w:r>
          </w:p>
        </w:tc>
        <w:tc>
          <w:tcPr>
            <w:tcW w:type="dxa" w:w="358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Por regla: error controlado. Real: propaga NumberFormatException (D-05)</w:t>
            </w:r>
          </w:p>
        </w:tc>
      </w:tr>
      <w:tr>
        <w:tc>
          <w:tcPr>
            <w:tcW w:type="dxa" w:w="900"/>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TC-18</w:t>
            </w:r>
          </w:p>
        </w:tc>
        <w:tc>
          <w:tcPr>
            <w:tcW w:type="dxa" w:w="24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UsuarioDao.guardarUsuarioCSV() / cargarUsuariosCSV()</w:t>
            </w:r>
          </w:p>
        </w:tc>
        <w:tc>
          <w:tcPr>
            <w:tcW w:type="dxa" w:w="28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Ida y vuelta de un usuario a través del archivo CSV</w:t>
            </w:r>
          </w:p>
        </w:tc>
        <w:tc>
          <w:tcPr>
            <w:tcW w:type="dxa" w:w="11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Feliz</w:t>
            </w:r>
          </w:p>
        </w:tc>
        <w:tc>
          <w:tcPr>
            <w:tcW w:type="dxa" w:w="29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Lista con 1 usuario válido</w:t>
            </w:r>
          </w:p>
        </w:tc>
        <w:tc>
          <w:tcPr>
            <w:tcW w:type="dxa" w:w="358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Se recupera el usuario con nombre, teléfono y correo intactos</w:t>
            </w:r>
          </w:p>
        </w:tc>
      </w:tr>
      <w:tr>
        <w:tc>
          <w:tcPr>
            <w:tcW w:type="dxa" w:w="13680"/>
            <w:gridSpan w:val="6"/>
            <w:shd w:fill="FFF2CC" w:color="auto" w:val="clear"/>
            <w:tcMar>
              <w:top w:type="dxa" w:w="45"/>
              <w:left w:type="dxa" w:w="80"/>
              <w:bottom w:type="dxa" w:w="45"/>
              <w:right w:type="dxa" w:w="80"/>
            </w:tcMar>
            <w:vAlign w:val="center"/>
          </w:tcPr>
          <w:p>
            <w:pPr>
              <w:spacing w:after="10" w:before="10"/>
              <w:jc w:val="left"/>
            </w:pPr>
            <w:r>
              <w:rPr>
                <w:rFonts w:ascii="Calibri" w:cs="Calibri" w:eastAsia="Calibri" w:hAnsi="Calibri"/>
                <w:b/>
                <w:bCs/>
                <w:sz w:val="16"/>
                <w:szCs w:val="16"/>
              </w:rPr>
              <w:t xml:space="preserve">B · Validación del alta de libro (formulario y consola)</w:t>
            </w:r>
          </w:p>
        </w:tc>
      </w:tr>
      <w:tr>
        <w:tc>
          <w:tcPr>
            <w:tcW w:type="dxa" w:w="900"/>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TC-19</w:t>
            </w:r>
          </w:p>
        </w:tc>
        <w:tc>
          <w:tcPr>
            <w:tcW w:type="dxa" w:w="24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Validación de alta de libro</w:t>
            </w:r>
          </w:p>
        </w:tc>
        <w:tc>
          <w:tcPr>
            <w:tcW w:type="dxa" w:w="28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Registro con todos los datos correctos</w:t>
            </w:r>
          </w:p>
        </w:tc>
        <w:tc>
          <w:tcPr>
            <w:tcW w:type="dxa" w:w="11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Feliz</w:t>
            </w:r>
          </w:p>
        </w:tc>
        <w:tc>
          <w:tcPr>
            <w:tcW w:type="dxa" w:w="29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Título "El Quijote"; Autor "Cervantes"; Tipo "Novela"; Editorial "Planeta"; Existencias "5"; Año "1605"; Páginas "863"</w:t>
            </w:r>
          </w:p>
        </w:tc>
        <w:tc>
          <w:tcPr>
            <w:tcW w:type="dxa" w:w="358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Devuelve un objeto Libro no nulo con esos mismos valores</w:t>
            </w:r>
          </w:p>
        </w:tc>
      </w:tr>
      <w:tr>
        <w:tc>
          <w:tcPr>
            <w:tcW w:type="dxa" w:w="900"/>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TC-20</w:t>
            </w:r>
          </w:p>
        </w:tc>
        <w:tc>
          <w:tcPr>
            <w:tcW w:type="dxa" w:w="24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Validación de alta de libro</w:t>
            </w:r>
          </w:p>
        </w:tc>
        <w:tc>
          <w:tcPr>
            <w:tcW w:type="dxa" w:w="28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Un campo obligatorio se deja vacío</w:t>
            </w:r>
          </w:p>
        </w:tc>
        <w:tc>
          <w:tcPr>
            <w:tcW w:type="dxa" w:w="11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Excepción</w:t>
            </w:r>
          </w:p>
        </w:tc>
        <w:tc>
          <w:tcPr>
            <w:tcW w:type="dxa" w:w="29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Título = "" y el resto de los campos correctos</w:t>
            </w:r>
          </w:p>
        </w:tc>
        <w:tc>
          <w:tcPr>
            <w:tcW w:type="dxa" w:w="358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Devuelve null y avisa "Todos los campos se deben de llenar"</w:t>
            </w:r>
          </w:p>
        </w:tc>
      </w:tr>
      <w:tr>
        <w:tc>
          <w:tcPr>
            <w:tcW w:type="dxa" w:w="900"/>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TC-21</w:t>
            </w:r>
          </w:p>
        </w:tc>
        <w:tc>
          <w:tcPr>
            <w:tcW w:type="dxa" w:w="24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Validación de alta de libro</w:t>
            </w:r>
          </w:p>
        </w:tc>
        <w:tc>
          <w:tcPr>
            <w:tcW w:type="dxa" w:w="28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Se intenta registrar con el formulario completamente vacío</w:t>
            </w:r>
          </w:p>
        </w:tc>
        <w:tc>
          <w:tcPr>
            <w:tcW w:type="dxa" w:w="11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Excepción</w:t>
            </w:r>
          </w:p>
        </w:tc>
        <w:tc>
          <w:tcPr>
            <w:tcW w:type="dxa" w:w="29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Todos los campos en ""</w:t>
            </w:r>
          </w:p>
        </w:tc>
        <w:tc>
          <w:tcPr>
            <w:tcW w:type="dxa" w:w="358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Devuelve null y avisa "Todos los campos se deben de llenar"</w:t>
            </w:r>
          </w:p>
        </w:tc>
      </w:tr>
      <w:tr>
        <w:tc>
          <w:tcPr>
            <w:tcW w:type="dxa" w:w="900"/>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TC-22</w:t>
            </w:r>
          </w:p>
        </w:tc>
        <w:tc>
          <w:tcPr>
            <w:tcW w:type="dxa" w:w="24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Validación de alta de libro</w:t>
            </w:r>
          </w:p>
        </w:tc>
        <w:tc>
          <w:tcPr>
            <w:tcW w:type="dxa" w:w="28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Campo lleno únicamente con espacios en blanco</w:t>
            </w:r>
          </w:p>
        </w:tc>
        <w:tc>
          <w:tcPr>
            <w:tcW w:type="dxa" w:w="11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Excepción</w:t>
            </w:r>
          </w:p>
        </w:tc>
        <w:tc>
          <w:tcPr>
            <w:tcW w:type="dxa" w:w="29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Título = "   "</w:t>
            </w:r>
          </w:p>
        </w:tc>
        <w:tc>
          <w:tcPr>
            <w:tcW w:type="dxa" w:w="358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Devuelve null: el trim() deja la cadena vacía y aplica la regla</w:t>
            </w:r>
          </w:p>
        </w:tc>
      </w:tr>
      <w:tr>
        <w:tc>
          <w:tcPr>
            <w:tcW w:type="dxa" w:w="900"/>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TC-23</w:t>
            </w:r>
          </w:p>
        </w:tc>
        <w:tc>
          <w:tcPr>
            <w:tcW w:type="dxa" w:w="24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Validación de alta de libro</w:t>
            </w:r>
          </w:p>
        </w:tc>
        <w:tc>
          <w:tcPr>
            <w:tcW w:type="dxa" w:w="28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Año de publicación con más de cuatro dígitos</w:t>
            </w:r>
          </w:p>
        </w:tc>
        <w:tc>
          <w:tcPr>
            <w:tcW w:type="dxa" w:w="11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Excepción</w:t>
            </w:r>
          </w:p>
        </w:tc>
        <w:tc>
          <w:tcPr>
            <w:tcW w:type="dxa" w:w="29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Año = "20255"</w:t>
            </w:r>
          </w:p>
        </w:tc>
        <w:tc>
          <w:tcPr>
            <w:tcW w:type="dxa" w:w="358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Devuelve null y avisa que el año no es válido</w:t>
            </w:r>
          </w:p>
        </w:tc>
      </w:tr>
      <w:tr>
        <w:tc>
          <w:tcPr>
            <w:tcW w:type="dxa" w:w="900"/>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TC-24</w:t>
            </w:r>
          </w:p>
        </w:tc>
        <w:tc>
          <w:tcPr>
            <w:tcW w:type="dxa" w:w="24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Validación de alta de libro</w:t>
            </w:r>
          </w:p>
        </w:tc>
        <w:tc>
          <w:tcPr>
            <w:tcW w:type="dxa" w:w="28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Existencias capturadas como texto</w:t>
            </w:r>
          </w:p>
        </w:tc>
        <w:tc>
          <w:tcPr>
            <w:tcW w:type="dxa" w:w="11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Excepción</w:t>
            </w:r>
          </w:p>
        </w:tc>
        <w:tc>
          <w:tcPr>
            <w:tcW w:type="dxa" w:w="29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Existencias = "abc"</w:t>
            </w:r>
          </w:p>
        </w:tc>
        <w:tc>
          <w:tcPr>
            <w:tcW w:type="dxa" w:w="358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Devuelve null y avisa que debe ser numérico</w:t>
            </w:r>
          </w:p>
        </w:tc>
      </w:tr>
      <w:tr>
        <w:tc>
          <w:tcPr>
            <w:tcW w:type="dxa" w:w="900"/>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TC-25</w:t>
            </w:r>
          </w:p>
        </w:tc>
        <w:tc>
          <w:tcPr>
            <w:tcW w:type="dxa" w:w="24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Validación de alta de libro</w:t>
            </w:r>
          </w:p>
        </w:tc>
        <w:tc>
          <w:tcPr>
            <w:tcW w:type="dxa" w:w="28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Número de páginas capturado como texto</w:t>
            </w:r>
          </w:p>
        </w:tc>
        <w:tc>
          <w:tcPr>
            <w:tcW w:type="dxa" w:w="11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Excepción</w:t>
            </w:r>
          </w:p>
        </w:tc>
        <w:tc>
          <w:tcPr>
            <w:tcW w:type="dxa" w:w="29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Páginas = "cien"</w:t>
            </w:r>
          </w:p>
        </w:tc>
        <w:tc>
          <w:tcPr>
            <w:tcW w:type="dxa" w:w="358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Devuelve null y avisa que debe ser numérico</w:t>
            </w:r>
          </w:p>
        </w:tc>
      </w:tr>
      <w:tr>
        <w:tc>
          <w:tcPr>
            <w:tcW w:type="dxa" w:w="900"/>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TC-26</w:t>
            </w:r>
          </w:p>
        </w:tc>
        <w:tc>
          <w:tcPr>
            <w:tcW w:type="dxa" w:w="24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Validación de alta de libro</w:t>
            </w:r>
          </w:p>
        </w:tc>
        <w:tc>
          <w:tcPr>
            <w:tcW w:type="dxa" w:w="28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Alta de un libro sin ejemplares disponibles</w:t>
            </w:r>
          </w:p>
        </w:tc>
        <w:tc>
          <w:tcPr>
            <w:tcW w:type="dxa" w:w="11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Excepción</w:t>
            </w:r>
          </w:p>
        </w:tc>
        <w:tc>
          <w:tcPr>
            <w:tcW w:type="dxa" w:w="29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Existencias = "0"</w:t>
            </w:r>
          </w:p>
        </w:tc>
        <w:tc>
          <w:tcPr>
            <w:tcW w:type="dxa" w:w="358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Por regla: null y aviso de sin existencias. Real: acepta el registro (D-06)</w:t>
            </w:r>
          </w:p>
        </w:tc>
      </w:tr>
      <w:tr>
        <w:tc>
          <w:tcPr>
            <w:tcW w:type="dxa" w:w="900"/>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TC-27</w:t>
            </w:r>
          </w:p>
        </w:tc>
        <w:tc>
          <w:tcPr>
            <w:tcW w:type="dxa" w:w="24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Validación de alta de libro</w:t>
            </w:r>
          </w:p>
        </w:tc>
        <w:tc>
          <w:tcPr>
            <w:tcW w:type="dxa" w:w="28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Existencias con valor negativo</w:t>
            </w:r>
          </w:p>
        </w:tc>
        <w:tc>
          <w:tcPr>
            <w:tcW w:type="dxa" w:w="11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Excepción</w:t>
            </w:r>
          </w:p>
        </w:tc>
        <w:tc>
          <w:tcPr>
            <w:tcW w:type="dxa" w:w="29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Existencias = "-5"</w:t>
            </w:r>
          </w:p>
        </w:tc>
        <w:tc>
          <w:tcPr>
            <w:tcW w:type="dxa" w:w="358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Por regla: null. Real: acepta el registro con existencias negativas (D-06)</w:t>
            </w:r>
          </w:p>
        </w:tc>
      </w:tr>
      <w:tr>
        <w:tc>
          <w:tcPr>
            <w:tcW w:type="dxa" w:w="900"/>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TC-28</w:t>
            </w:r>
          </w:p>
        </w:tc>
        <w:tc>
          <w:tcPr>
            <w:tcW w:type="dxa" w:w="24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Validación de alta de libro</w:t>
            </w:r>
          </w:p>
        </w:tc>
        <w:tc>
          <w:tcPr>
            <w:tcW w:type="dxa" w:w="28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Libro registrado con cero páginas</w:t>
            </w:r>
          </w:p>
        </w:tc>
        <w:tc>
          <w:tcPr>
            <w:tcW w:type="dxa" w:w="11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Excepción</w:t>
            </w:r>
          </w:p>
        </w:tc>
        <w:tc>
          <w:tcPr>
            <w:tcW w:type="dxa" w:w="29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Páginas = "0"</w:t>
            </w:r>
          </w:p>
        </w:tc>
        <w:tc>
          <w:tcPr>
            <w:tcW w:type="dxa" w:w="358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Por regla: null y aviso de páginas. Real: acepta el registro (D-07)</w:t>
            </w:r>
          </w:p>
        </w:tc>
      </w:tr>
      <w:tr>
        <w:tc>
          <w:tcPr>
            <w:tcW w:type="dxa" w:w="900"/>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TC-29</w:t>
            </w:r>
          </w:p>
        </w:tc>
        <w:tc>
          <w:tcPr>
            <w:tcW w:type="dxa" w:w="24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Validación de alta de libro</w:t>
            </w:r>
          </w:p>
        </w:tc>
        <w:tc>
          <w:tcPr>
            <w:tcW w:type="dxa" w:w="28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Año de publicación en el futuro pero de cuatro dígitos</w:t>
            </w:r>
          </w:p>
        </w:tc>
        <w:tc>
          <w:tcPr>
            <w:tcW w:type="dxa" w:w="11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Excepción</w:t>
            </w:r>
          </w:p>
        </w:tc>
        <w:tc>
          <w:tcPr>
            <w:tcW w:type="dxa" w:w="29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Año = "9999"</w:t>
            </w:r>
          </w:p>
        </w:tc>
        <w:tc>
          <w:tcPr>
            <w:tcW w:type="dxa" w:w="358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Por regla: null y aviso de año inválido. Real: acepta el registro (D-08)</w:t>
            </w:r>
          </w:p>
        </w:tc>
      </w:tr>
      <w:tr>
        <w:tc>
          <w:tcPr>
            <w:tcW w:type="dxa" w:w="900"/>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TC-30</w:t>
            </w:r>
          </w:p>
        </w:tc>
        <w:tc>
          <w:tcPr>
            <w:tcW w:type="dxa" w:w="24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Validación de alta de libro</w:t>
            </w:r>
          </w:p>
        </w:tc>
        <w:tc>
          <w:tcPr>
            <w:tcW w:type="dxa" w:w="28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Coherencia entre disponibilidad y existencias al dar de alta</w:t>
            </w:r>
          </w:p>
        </w:tc>
        <w:tc>
          <w:tcPr>
            <w:tcW w:type="dxa" w:w="11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Excepción</w:t>
            </w:r>
          </w:p>
        </w:tc>
        <w:tc>
          <w:tcPr>
            <w:tcW w:type="dxa" w:w="29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Existencias = "0"</w:t>
            </w:r>
          </w:p>
        </w:tc>
        <w:tc>
          <w:tcPr>
            <w:tcW w:type="dxa" w:w="358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Por regla: disponible = false. Real: se fija en true incondicionalmente (D-09)</w:t>
            </w:r>
          </w:p>
        </w:tc>
      </w:tr>
    </w:tbl>
    <w:p>
      <w:pPr>
        <w:sectPr>
          <w:footerReference w:type="default" r:id="rId8"/>
          <w:pgSz w:w="15840" w:h="12240" w:orient="landscape"/>
          <w:pgMar w:top="1000" w:right="1080" w:bottom="1000" w:left="1080" w:header="708" w:footer="708" w:gutter="0"/>
          <w:pgNumType/>
          <w:docGrid w:linePitch="360"/>
        </w:sectPr>
      </w:pPr>
    </w:p>
    <w:p>
      <w:pPr>
        <w:pStyle w:val="Heading1"/>
        <w:spacing w:after="120" w:before="240"/>
      </w:pPr>
      <w:r>
        <w:rPr>
          <w:rFonts w:ascii="Calibri" w:cs="Calibri" w:eastAsia="Calibri" w:hAnsi="Calibri"/>
          <w:b/>
          <w:bCs/>
          <w:color w:val="1F3864"/>
          <w:sz w:val="28"/>
          <w:szCs w:val="28"/>
        </w:rPr>
        <w:t xml:space="preserve">4. Defectos detectados</w:t>
      </w:r>
    </w:p>
    <w:p>
      <w:pPr>
        <w:spacing w:after="110" w:before="0" w:line="264"/>
      </w:pPr>
      <w:r>
        <w:rPr>
          <w:rFonts w:ascii="Calibri" w:cs="Calibri" w:eastAsia="Calibri" w:hAnsi="Calibri"/>
          <w:sz w:val="21"/>
          <w:szCs w:val="21"/>
        </w:rPr>
        <w:t xml:space="preserve">El patrón de fondo es revelador: tres validaciones distintas comprueban la longitud de la cadena capturada en lugar de su valor numérico. Como la regla de campos obligatorios ya descartó las cadenas vacías, esas comprobaciones nunca se cumplen y el sistema termina aceptando exactamente los datos que sus propios mensajes de error dicen rechazar.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4900"/>
        <w:gridCol w:w="1800"/>
        <w:gridCol w:w="1400"/>
        <w:gridCol w:w="1180"/>
      </w:tblGrid>
      <w:tr>
        <w:trPr>
          <w:tblHeader/>
        </w:trPr>
        <w:tc>
          <w:tcPr>
            <w:tcW w:type="dxa" w:w="800"/>
            <w:shd w:fill="1F3864" w:color="auto" w:val="clear"/>
            <w:tcMar>
              <w:top w:type="dxa" w:w="45"/>
              <w:left w:type="dxa" w:w="80"/>
              <w:bottom w:type="dxa" w:w="45"/>
              <w:right w:type="dxa" w:w="80"/>
            </w:tcMar>
            <w:vAlign w:val="center"/>
          </w:tcPr>
          <w:p>
            <w:pPr>
              <w:spacing w:after="10" w:before="10"/>
              <w:jc w:val="left"/>
            </w:pPr>
            <w:r>
              <w:rPr>
                <w:rFonts w:ascii="Calibri" w:cs="Calibri" w:eastAsia="Calibri" w:hAnsi="Calibri"/>
                <w:b/>
                <w:bCs/>
                <w:color w:val="FFFFFF"/>
                <w:sz w:val="16"/>
                <w:szCs w:val="16"/>
              </w:rPr>
              <w:t xml:space="preserve">ID</w:t>
            </w:r>
          </w:p>
        </w:tc>
        <w:tc>
          <w:tcPr>
            <w:tcW w:type="dxa" w:w="4900"/>
            <w:shd w:fill="1F3864" w:color="auto" w:val="clear"/>
            <w:tcMar>
              <w:top w:type="dxa" w:w="45"/>
              <w:left w:type="dxa" w:w="80"/>
              <w:bottom w:type="dxa" w:w="45"/>
              <w:right w:type="dxa" w:w="80"/>
            </w:tcMar>
            <w:vAlign w:val="center"/>
          </w:tcPr>
          <w:p>
            <w:pPr>
              <w:spacing w:after="10" w:before="10"/>
              <w:jc w:val="center"/>
            </w:pPr>
            <w:r>
              <w:rPr>
                <w:rFonts w:ascii="Calibri" w:cs="Calibri" w:eastAsia="Calibri" w:hAnsi="Calibri"/>
                <w:b/>
                <w:bCs/>
                <w:color w:val="FFFFFF"/>
                <w:sz w:val="16"/>
                <w:szCs w:val="16"/>
              </w:rPr>
              <w:t xml:space="preserve">Descripción del defecto</w:t>
            </w:r>
          </w:p>
        </w:tc>
        <w:tc>
          <w:tcPr>
            <w:tcW w:type="dxa" w:w="1800"/>
            <w:shd w:fill="1F3864" w:color="auto" w:val="clear"/>
            <w:tcMar>
              <w:top w:type="dxa" w:w="45"/>
              <w:left w:type="dxa" w:w="80"/>
              <w:bottom w:type="dxa" w:w="45"/>
              <w:right w:type="dxa" w:w="80"/>
            </w:tcMar>
            <w:vAlign w:val="center"/>
          </w:tcPr>
          <w:p>
            <w:pPr>
              <w:spacing w:after="10" w:before="10"/>
              <w:jc w:val="center"/>
            </w:pPr>
            <w:r>
              <w:rPr>
                <w:rFonts w:ascii="Calibri" w:cs="Calibri" w:eastAsia="Calibri" w:hAnsi="Calibri"/>
                <w:b/>
                <w:bCs/>
                <w:color w:val="FFFFFF"/>
                <w:sz w:val="16"/>
                <w:szCs w:val="16"/>
              </w:rPr>
              <w:t xml:space="preserve">Ubicación</w:t>
            </w:r>
          </w:p>
        </w:tc>
        <w:tc>
          <w:tcPr>
            <w:tcW w:type="dxa" w:w="1400"/>
            <w:shd w:fill="1F3864" w:color="auto" w:val="clear"/>
            <w:tcMar>
              <w:top w:type="dxa" w:w="45"/>
              <w:left w:type="dxa" w:w="80"/>
              <w:bottom w:type="dxa" w:w="45"/>
              <w:right w:type="dxa" w:w="80"/>
            </w:tcMar>
            <w:vAlign w:val="center"/>
          </w:tcPr>
          <w:p>
            <w:pPr>
              <w:spacing w:after="10" w:before="10"/>
              <w:jc w:val="center"/>
            </w:pPr>
            <w:r>
              <w:rPr>
                <w:rFonts w:ascii="Calibri" w:cs="Calibri" w:eastAsia="Calibri" w:hAnsi="Calibri"/>
                <w:b/>
                <w:bCs/>
                <w:color w:val="FFFFFF"/>
                <w:sz w:val="16"/>
                <w:szCs w:val="16"/>
              </w:rPr>
              <w:t xml:space="preserve">Caso</w:t>
            </w:r>
          </w:p>
        </w:tc>
        <w:tc>
          <w:tcPr>
            <w:tcW w:type="dxa" w:w="1180"/>
            <w:shd w:fill="1F3864" w:color="auto" w:val="clear"/>
            <w:tcMar>
              <w:top w:type="dxa" w:w="45"/>
              <w:left w:type="dxa" w:w="80"/>
              <w:bottom w:type="dxa" w:w="45"/>
              <w:right w:type="dxa" w:w="80"/>
            </w:tcMar>
            <w:vAlign w:val="center"/>
          </w:tcPr>
          <w:p>
            <w:pPr>
              <w:spacing w:after="10" w:before="10"/>
              <w:jc w:val="center"/>
            </w:pPr>
            <w:r>
              <w:rPr>
                <w:rFonts w:ascii="Calibri" w:cs="Calibri" w:eastAsia="Calibri" w:hAnsi="Calibri"/>
                <w:b/>
                <w:bCs/>
                <w:color w:val="FFFFFF"/>
                <w:sz w:val="16"/>
                <w:szCs w:val="16"/>
              </w:rPr>
              <w:t xml:space="preserve">Severidad</w:t>
            </w:r>
          </w:p>
        </w:tc>
      </w:tr>
      <w:tr>
        <w:tc>
          <w:tcPr>
            <w:tcW w:type="dxa" w:w="800"/>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D-01</w:t>
            </w:r>
          </w:p>
        </w:tc>
        <w:tc>
          <w:tcPr>
            <w:tcW w:type="dxa" w:w="4900"/>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setDisponible(boolean) ignora por completo el parámetro que recibe y decide la disponibilidad solo a partir de las existencias. Cualquier llamada que intente marcar un libro como no disponible queda sin efecto.</w:t>
            </w:r>
          </w:p>
        </w:tc>
        <w:tc>
          <w:tcPr>
            <w:tcW w:type="dxa" w:w="18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Libro.java, 64-70</w:t>
            </w:r>
          </w:p>
        </w:tc>
        <w:tc>
          <w:tcPr>
            <w:tcW w:type="dxa" w:w="14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TC-04</w:t>
            </w:r>
          </w:p>
        </w:tc>
        <w:tc>
          <w:tcPr>
            <w:tcW w:type="dxa" w:w="1180"/>
            <w:shd w:fill="F4CCCC" w:color="auto" w:val="clear"/>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Alta</w:t>
            </w:r>
          </w:p>
        </w:tc>
      </w:tr>
      <w:tr>
        <w:tc>
          <w:tcPr>
            <w:tcW w:type="dxa" w:w="800"/>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D-02</w:t>
            </w:r>
          </w:p>
        </w:tc>
        <w:tc>
          <w:tcPr>
            <w:tcW w:type="dxa" w:w="4900"/>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La serialización a CSV concatena los campos con comas sin escapar el contenido. Un título con coma genera una línea con más columnas de las esperadas, que después se descarta al leer.</w:t>
            </w:r>
          </w:p>
        </w:tc>
        <w:tc>
          <w:tcPr>
            <w:tcW w:type="dxa" w:w="18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Libro.java y LibroDao.java</w:t>
            </w:r>
          </w:p>
        </w:tc>
        <w:tc>
          <w:tcPr>
            <w:tcW w:type="dxa" w:w="14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TC-06, TC-16</w:t>
            </w:r>
          </w:p>
        </w:tc>
        <w:tc>
          <w:tcPr>
            <w:tcW w:type="dxa" w:w="1180"/>
            <w:shd w:fill="F4CCCC" w:color="auto" w:val="clear"/>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Alta</w:t>
            </w:r>
          </w:p>
        </w:tc>
      </w:tr>
      <w:tr>
        <w:tc>
          <w:tcPr>
            <w:tcW w:type="dxa" w:w="800"/>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D-03</w:t>
            </w:r>
          </w:p>
        </w:tc>
        <w:tc>
          <w:tcPr>
            <w:tcW w:type="dxa" w:w="4900"/>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La clase expone dos getters distintos para el mismo atributo (getPublicacion y getAnoPublicacion), lo que duplica la interfaz pública y abre la puerta a inconsistencias.</w:t>
            </w:r>
          </w:p>
        </w:tc>
        <w:tc>
          <w:tcPr>
            <w:tcW w:type="dxa" w:w="18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Publicacion.java, 56-65</w:t>
            </w:r>
          </w:p>
        </w:tc>
        <w:tc>
          <w:tcPr>
            <w:tcW w:type="dxa" w:w="14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TC-10</w:t>
            </w:r>
          </w:p>
        </w:tc>
        <w:tc>
          <w:tcPr>
            <w:tcW w:type="dxa" w:w="1180"/>
            <w:shd w:fill="F2F2F2" w:color="auto" w:val="clear"/>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Baja</w:t>
            </w:r>
          </w:p>
        </w:tc>
      </w:tr>
      <w:tr>
        <w:tc>
          <w:tcPr>
            <w:tcW w:type="dxa" w:w="800"/>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D-04</w:t>
            </w:r>
          </w:p>
        </w:tc>
        <w:tc>
          <w:tcPr>
            <w:tcW w:type="dxa" w:w="4900"/>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Al cargar el CSV, toda línea cuyo número de columnas no sea exactamente nueve se descarta en silencio, sin registro ni aviso. Los datos se pierden sin que el usuario lo note.</w:t>
            </w:r>
          </w:p>
        </w:tc>
        <w:tc>
          <w:tcPr>
            <w:tcW w:type="dxa" w:w="18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LibroDao.java y UsuarioDao.java</w:t>
            </w:r>
          </w:p>
        </w:tc>
        <w:tc>
          <w:tcPr>
            <w:tcW w:type="dxa" w:w="14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TC-16</w:t>
            </w:r>
          </w:p>
        </w:tc>
        <w:tc>
          <w:tcPr>
            <w:tcW w:type="dxa" w:w="1180"/>
            <w:shd w:fill="F4CCCC" w:color="auto" w:val="clear"/>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Alta</w:t>
            </w:r>
          </w:p>
        </w:tc>
      </w:tr>
      <w:tr>
        <w:tc>
          <w:tcPr>
            <w:tcW w:type="dxa" w:w="800"/>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D-05</w:t>
            </w:r>
          </w:p>
        </w:tc>
        <w:tc>
          <w:tcPr>
            <w:tcW w:type="dxa" w:w="4900"/>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La conversión de los campos numéricos del CSV no está protegida: un valor no numérico propaga una NumberFormatException que no se captura en ningún nivel y aborta la carga completa.</w:t>
            </w:r>
          </w:p>
        </w:tc>
        <w:tc>
          <w:tcPr>
            <w:tcW w:type="dxa" w:w="18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LibroDao.java y UsuarioDao.java</w:t>
            </w:r>
          </w:p>
        </w:tc>
        <w:tc>
          <w:tcPr>
            <w:tcW w:type="dxa" w:w="14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TC-17</w:t>
            </w:r>
          </w:p>
        </w:tc>
        <w:tc>
          <w:tcPr>
            <w:tcW w:type="dxa" w:w="1180"/>
            <w:shd w:fill="FFF2CC" w:color="auto" w:val="clear"/>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Media</w:t>
            </w:r>
          </w:p>
        </w:tc>
      </w:tr>
      <w:tr>
        <w:tc>
          <w:tcPr>
            <w:tcW w:type="dxa" w:w="800"/>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D-06</w:t>
            </w:r>
          </w:p>
        </w:tc>
        <w:tc>
          <w:tcPr>
            <w:tcW w:type="dxa" w:w="4900"/>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La validación de existencias comprueba la longitud del texto capturado en lugar de su valor numérico. Como la regla de campo obligatorio ya rechazó las cadenas vacías, esta comprobación nunca se cumple y acepta valores de cero o negativos.</w:t>
            </w:r>
          </w:p>
        </w:tc>
        <w:tc>
          <w:tcPr>
            <w:tcW w:type="dxa" w:w="18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GUILibro.java, 80-83</w:t>
            </w:r>
          </w:p>
        </w:tc>
        <w:tc>
          <w:tcPr>
            <w:tcW w:type="dxa" w:w="14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TC-26, TC-27</w:t>
            </w:r>
          </w:p>
        </w:tc>
        <w:tc>
          <w:tcPr>
            <w:tcW w:type="dxa" w:w="1180"/>
            <w:shd w:fill="F4CCCC" w:color="auto" w:val="clear"/>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Alta</w:t>
            </w:r>
          </w:p>
        </w:tc>
      </w:tr>
      <w:tr>
        <w:tc>
          <w:tcPr>
            <w:tcW w:type="dxa" w:w="800"/>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D-07</w:t>
            </w:r>
          </w:p>
        </w:tc>
        <w:tc>
          <w:tcPr>
            <w:tcW w:type="dxa" w:w="4900"/>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La validación del número de páginas repite el mismo error: mide la longitud del texto y no el valor, por lo que acepta libros con cero páginas.</w:t>
            </w:r>
          </w:p>
        </w:tc>
        <w:tc>
          <w:tcPr>
            <w:tcW w:type="dxa" w:w="18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GUILibro.java, 92-95</w:t>
            </w:r>
          </w:p>
        </w:tc>
        <w:tc>
          <w:tcPr>
            <w:tcW w:type="dxa" w:w="14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TC-28</w:t>
            </w:r>
          </w:p>
        </w:tc>
        <w:tc>
          <w:tcPr>
            <w:tcW w:type="dxa" w:w="1180"/>
            <w:shd w:fill="FFF2CC" w:color="auto" w:val="clear"/>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Media</w:t>
            </w:r>
          </w:p>
        </w:tc>
      </w:tr>
      <w:tr>
        <w:tc>
          <w:tcPr>
            <w:tcW w:type="dxa" w:w="800"/>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D-08</w:t>
            </w:r>
          </w:p>
        </w:tc>
        <w:tc>
          <w:tcPr>
            <w:tcW w:type="dxa" w:w="4900"/>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La validación del año de publicación solo limita la cantidad de dígitos a cuatro, no compara contra el año actual. Un año como 9999 se acepta pese a que el mensaje anuncia que no se admiten libros del futuro.</w:t>
            </w:r>
          </w:p>
        </w:tc>
        <w:tc>
          <w:tcPr>
            <w:tcW w:type="dxa" w:w="18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GUILibro.java, 84-87</w:t>
            </w:r>
          </w:p>
        </w:tc>
        <w:tc>
          <w:tcPr>
            <w:tcW w:type="dxa" w:w="14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TC-29</w:t>
            </w:r>
          </w:p>
        </w:tc>
        <w:tc>
          <w:tcPr>
            <w:tcW w:type="dxa" w:w="1180"/>
            <w:shd w:fill="FFF2CC" w:color="auto" w:val="clear"/>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Media</w:t>
            </w:r>
          </w:p>
        </w:tc>
      </w:tr>
      <w:tr>
        <w:tc>
          <w:tcPr>
            <w:tcW w:type="dxa" w:w="800"/>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D-09</w:t>
            </w:r>
          </w:p>
        </w:tc>
        <w:tc>
          <w:tcPr>
            <w:tcW w:type="dxa" w:w="4900"/>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Al construir el libro, el atributo disponible se fija en true de forma incondicional, sin considerar las existencias capturadas. Un libro con cero ejemplares nace marcado como disponible.</w:t>
            </w:r>
          </w:p>
        </w:tc>
        <w:tc>
          <w:tcPr>
            <w:tcW w:type="dxa" w:w="18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GUILibro.java, línea 100</w:t>
            </w:r>
          </w:p>
        </w:tc>
        <w:tc>
          <w:tcPr>
            <w:tcW w:type="dxa" w:w="14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TC-30</w:t>
            </w:r>
          </w:p>
        </w:tc>
        <w:tc>
          <w:tcPr>
            <w:tcW w:type="dxa" w:w="1180"/>
            <w:shd w:fill="F4CCCC" w:color="auto" w:val="clear"/>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Alta</w:t>
            </w:r>
          </w:p>
        </w:tc>
      </w:tr>
      <w:tr>
        <w:tc>
          <w:tcPr>
            <w:tcW w:type="dxa" w:w="800"/>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D-10</w:t>
            </w:r>
          </w:p>
        </w:tc>
        <w:tc>
          <w:tcPr>
            <w:tcW w:type="dxa" w:w="4900"/>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Código muerto: la comprobación AnoPublicaciontex.length() &lt; 0 es inalcanzable, porque la longitud de una cadena nunca puede ser negativa.</w:t>
            </w:r>
          </w:p>
        </w:tc>
        <w:tc>
          <w:tcPr>
            <w:tcW w:type="dxa" w:w="18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GUILibro.java, 88-91</w:t>
            </w:r>
          </w:p>
        </w:tc>
        <w:tc>
          <w:tcPr>
            <w:tcW w:type="dxa" w:w="14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w:t>
            </w:r>
          </w:p>
        </w:tc>
        <w:tc>
          <w:tcPr>
            <w:tcW w:type="dxa" w:w="1180"/>
            <w:shd w:fill="F2F2F2" w:color="auto" w:val="clear"/>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Baja</w:t>
            </w:r>
          </w:p>
        </w:tc>
      </w:tr>
    </w:tbl>
    <w:p>
      <w:r>
        <w:br w:type="page"/>
      </w:r>
    </w:p>
    <w:p>
      <w:pPr>
        <w:pStyle w:val="Heading1"/>
        <w:spacing w:after="120" w:before="240"/>
      </w:pPr>
      <w:r>
        <w:rPr>
          <w:rFonts w:ascii="Calibri" w:cs="Calibri" w:eastAsia="Calibri" w:hAnsi="Calibri"/>
          <w:b/>
          <w:bCs/>
          <w:color w:val="1F3864"/>
          <w:sz w:val="28"/>
          <w:szCs w:val="28"/>
        </w:rPr>
        <w:t xml:space="preserve">5. Evidencia de la prueba de caja negra</w:t>
      </w:r>
    </w:p>
    <w:p>
      <w:pPr>
        <w:spacing w:after="110" w:before="0" w:line="264"/>
      </w:pPr>
      <w:r>
        <w:rPr>
          <w:rFonts w:ascii="Calibri" w:cs="Calibri" w:eastAsia="Calibri" w:hAnsi="Calibri"/>
          <w:sz w:val="21"/>
          <w:szCs w:val="21"/>
        </w:rPr>
        <w:t xml:space="preserve">El sistema original era exclusivamente gráfico y no contaba con un método main que leyera de consola, por lo que no existía forma de aplicarle la prueba de caja negra. Se desarrolló entonces la clase AltaLibroConsola, que replica de manera fiel la lógica de validación del formulario GUILibro, incluidos sus defectos, a través de una interfaz de consola con Scanner. El diseño fue deliberado: main solo construye las dependencias y delega en un método ejecutar(Scanner, PrintStream, LibroDao) que las recibe por parámetro, lo que permite a la prueba automatizada sustituir la entrada, la salida y el acceso a datos, y verificar únicamente la salida capturada sin conocer los detalles internos.</w:t>
      </w:r>
    </w:p>
    <w:p>
      <w:pPr>
        <w:spacing w:after="80" w:before="100"/>
        <w:jc w:val="center"/>
      </w:pPr>
      <w:r>
        <w:drawing>
          <wp:inline distT="0" distB="0" distL="0" distR="0">
            <wp:extent cx="447675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76750" cy="1847850"/>
                    </a:xfrm>
                    <a:prstGeom prst="rect">
                      <a:avLst/>
                    </a:prstGeom>
                  </pic:spPr>
                </pic:pic>
              </a:graphicData>
            </a:graphic>
          </wp:inline>
        </w:drawing>
      </w:r>
    </w:p>
    <w:p>
      <w:pPr>
        <w:spacing w:after="200"/>
        <w:jc w:val="center"/>
      </w:pPr>
      <w:r>
        <w:rPr>
          <w:rFonts w:ascii="Calibri" w:cs="Calibri" w:eastAsia="Calibri" w:hAnsi="Calibri"/>
          <w:i/>
          <w:iCs/>
          <w:color w:val="666666"/>
          <w:sz w:val="17"/>
          <w:szCs w:val="17"/>
        </w:rPr>
        <w:t xml:space="preserve">Figura 4. Camino feliz: con los siete campos correctos el sistema conecta a la base, inserta y confirma con el identificador asignado.</w:t>
      </w:r>
    </w:p>
    <w:p>
      <w:pPr>
        <w:spacing w:after="80" w:before="100"/>
        <w:jc w:val="center"/>
      </w:pPr>
      <w:r>
        <w:drawing>
          <wp:inline distT="0" distB="0" distL="0" distR="0">
            <wp:extent cx="4953000" cy="1457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1457325"/>
                    </a:xfrm>
                    <a:prstGeom prst="rect">
                      <a:avLst/>
                    </a:prstGeom>
                  </pic:spPr>
                </pic:pic>
              </a:graphicData>
            </a:graphic>
          </wp:inline>
        </w:drawing>
      </w:r>
    </w:p>
    <w:p>
      <w:pPr>
        <w:spacing w:after="200"/>
        <w:jc w:val="center"/>
      </w:pPr>
      <w:r>
        <w:rPr>
          <w:rFonts w:ascii="Calibri" w:cs="Calibri" w:eastAsia="Calibri" w:hAnsi="Calibri"/>
          <w:i/>
          <w:iCs/>
          <w:color w:val="666666"/>
          <w:sz w:val="17"/>
          <w:szCs w:val="17"/>
        </w:rPr>
        <w:t xml:space="preserve">Figura 5. Camino de excepción: con los campos obligatorios vacíos el sistema rechaza el registro y no inserta nada.</w:t>
      </w:r>
    </w:p>
    <w:p>
      <w:pPr>
        <w:spacing w:after="80" w:before="100"/>
        <w:jc w:val="center"/>
      </w:pPr>
      <w:r>
        <w:drawing>
          <wp:inline distT="0" distB="0" distL="0" distR="0">
            <wp:extent cx="4667250"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667250" cy="1809750"/>
                    </a:xfrm>
                    <a:prstGeom prst="rect">
                      <a:avLst/>
                    </a:prstGeom>
                  </pic:spPr>
                </pic:pic>
              </a:graphicData>
            </a:graphic>
          </wp:inline>
        </w:drawing>
      </w:r>
    </w:p>
    <w:p>
      <w:pPr>
        <w:spacing w:after="200"/>
        <w:jc w:val="center"/>
      </w:pPr>
      <w:r>
        <w:rPr>
          <w:rFonts w:ascii="Calibri" w:cs="Calibri" w:eastAsia="Calibri" w:hAnsi="Calibri"/>
          <w:i/>
          <w:iCs/>
          <w:color w:val="666666"/>
          <w:sz w:val="17"/>
          <w:szCs w:val="17"/>
        </w:rPr>
        <w:t xml:space="preserve">Figura 6. Evidencia visual del defecto D-08: un libro publicado en 2077 es aceptado e insertado con el identificador 4.</w:t>
      </w:r>
    </w:p>
    <w:p>
      <w:pPr>
        <w:spacing w:after="110" w:before="0" w:line="264"/>
      </w:pPr>
      <w:r>
        <w:rPr>
          <w:rFonts w:ascii="Calibri" w:cs="Calibri" w:eastAsia="Calibri" w:hAnsi="Calibri"/>
          <w:sz w:val="21"/>
          <w:szCs w:val="21"/>
        </w:rPr>
        <w:t xml:space="preserve">Esta última captura no documenta un funcionamiento correcto sino la comprobación empírica del defecto D-08. La validación del año no compara contra el año actual: cuenta caracteres. Como "2077" tiene exactamente cuatro, la comprobación la deja pasar; el sistema aceptaría igual un libro del año 9999 y solo se quejaría con cinco dígitos o más. Es la diferencia entre afirmar que se encontró un defecto leyendo el código y demostrarlo con el sistema en ejecución.</w:t>
      </w:r>
    </w:p>
    <w:p>
      <w:r>
        <w:br w:type="page"/>
      </w:r>
    </w:p>
    <w:p>
      <w:pPr>
        <w:pStyle w:val="Heading1"/>
        <w:spacing w:after="120" w:before="240"/>
      </w:pPr>
      <w:r>
        <w:rPr>
          <w:rFonts w:ascii="Calibri" w:cs="Calibri" w:eastAsia="Calibri" w:hAnsi="Calibri"/>
          <w:b/>
          <w:bCs/>
          <w:color w:val="1F3864"/>
          <w:sz w:val="28"/>
          <w:szCs w:val="28"/>
        </w:rPr>
        <w:t xml:space="preserve">6. Bitácora de JUnit en verde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700"/>
        <w:gridCol w:w="1500"/>
        <w:gridCol w:w="4880"/>
      </w:tblGrid>
      <w:tr>
        <w:trPr>
          <w:tblHeader/>
        </w:trPr>
        <w:tc>
          <w:tcPr>
            <w:tcW w:type="dxa" w:w="3700"/>
            <w:shd w:fill="1F3864" w:color="auto" w:val="clear"/>
            <w:tcMar>
              <w:top w:type="dxa" w:w="45"/>
              <w:left w:type="dxa" w:w="80"/>
              <w:bottom w:type="dxa" w:w="45"/>
              <w:right w:type="dxa" w:w="80"/>
            </w:tcMar>
            <w:vAlign w:val="center"/>
          </w:tcPr>
          <w:p>
            <w:pPr>
              <w:spacing w:after="10" w:before="10"/>
              <w:jc w:val="left"/>
            </w:pPr>
            <w:r>
              <w:rPr>
                <w:rFonts w:ascii="Calibri" w:cs="Calibri" w:eastAsia="Calibri" w:hAnsi="Calibri"/>
                <w:b/>
                <w:bCs/>
                <w:color w:val="FFFFFF"/>
                <w:sz w:val="16"/>
                <w:szCs w:val="16"/>
              </w:rPr>
              <w:t xml:space="preserve">Clase de prueba</w:t>
            </w:r>
          </w:p>
        </w:tc>
        <w:tc>
          <w:tcPr>
            <w:tcW w:type="dxa" w:w="1500"/>
            <w:shd w:fill="1F3864" w:color="auto" w:val="clear"/>
            <w:tcMar>
              <w:top w:type="dxa" w:w="45"/>
              <w:left w:type="dxa" w:w="80"/>
              <w:bottom w:type="dxa" w:w="45"/>
              <w:right w:type="dxa" w:w="80"/>
            </w:tcMar>
            <w:vAlign w:val="center"/>
          </w:tcPr>
          <w:p>
            <w:pPr>
              <w:spacing w:after="10" w:before="10"/>
              <w:jc w:val="center"/>
            </w:pPr>
            <w:r>
              <w:rPr>
                <w:rFonts w:ascii="Calibri" w:cs="Calibri" w:eastAsia="Calibri" w:hAnsi="Calibri"/>
                <w:b/>
                <w:bCs/>
                <w:color w:val="FFFFFF"/>
                <w:sz w:val="16"/>
                <w:szCs w:val="16"/>
              </w:rPr>
              <w:t xml:space="preserve">Pruebas</w:t>
            </w:r>
          </w:p>
        </w:tc>
        <w:tc>
          <w:tcPr>
            <w:tcW w:type="dxa" w:w="4880"/>
            <w:shd w:fill="1F3864" w:color="auto" w:val="clear"/>
            <w:tcMar>
              <w:top w:type="dxa" w:w="45"/>
              <w:left w:type="dxa" w:w="80"/>
              <w:bottom w:type="dxa" w:w="45"/>
              <w:right w:type="dxa" w:w="80"/>
            </w:tcMar>
            <w:vAlign w:val="center"/>
          </w:tcPr>
          <w:p>
            <w:pPr>
              <w:spacing w:after="10" w:before="10"/>
              <w:jc w:val="center"/>
            </w:pPr>
            <w:r>
              <w:rPr>
                <w:rFonts w:ascii="Calibri" w:cs="Calibri" w:eastAsia="Calibri" w:hAnsi="Calibri"/>
                <w:b/>
                <w:bCs/>
                <w:color w:val="FFFFFF"/>
                <w:sz w:val="16"/>
                <w:szCs w:val="16"/>
              </w:rPr>
              <w:t xml:space="preserve">Alcance</w:t>
            </w:r>
          </w:p>
        </w:tc>
      </w:tr>
      <w:tr>
        <w:tc>
          <w:tcPr>
            <w:tcW w:type="dxa" w:w="3700"/>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ClasesBiblia (4 clases)</w:t>
            </w:r>
          </w:p>
        </w:tc>
        <w:tc>
          <w:tcPr>
            <w:tcW w:type="dxa" w:w="15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13</w:t>
            </w:r>
          </w:p>
        </w:tc>
        <w:tc>
          <w:tcPr>
            <w:tcW w:type="dxa" w:w="488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Disponibilidad, serialización CSV, constructores y herencia</w:t>
            </w:r>
          </w:p>
        </w:tc>
      </w:tr>
      <w:tr>
        <w:tc>
          <w:tcPr>
            <w:tcW w:type="dxa" w:w="3700"/>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DAOBiblia (2 clases)</w:t>
            </w:r>
          </w:p>
        </w:tc>
        <w:tc>
          <w:tcPr>
            <w:tcW w:type="dxa" w:w="15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5</w:t>
            </w:r>
          </w:p>
        </w:tc>
        <w:tc>
          <w:tcPr>
            <w:tcW w:type="dxa" w:w="488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Persistencia CSV, incluye los defectos D-04 y D-05</w:t>
            </w:r>
          </w:p>
        </w:tc>
      </w:tr>
      <w:tr>
        <w:tc>
          <w:tcPr>
            <w:tcW w:type="dxa" w:w="3700"/>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ConsolaBiblia.AltaLibroConsolaTest</w:t>
            </w:r>
          </w:p>
        </w:tc>
        <w:tc>
          <w:tcPr>
            <w:tcW w:type="dxa" w:w="15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9</w:t>
            </w:r>
          </w:p>
        </w:tc>
        <w:tc>
          <w:tcPr>
            <w:tcW w:type="dxa" w:w="488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Prueba de caja negra del método main</w:t>
            </w:r>
          </w:p>
        </w:tc>
      </w:tr>
      <w:tr>
        <w:tc>
          <w:tcPr>
            <w:tcW w:type="dxa" w:w="3700"/>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GUIBiblia (9 clases de ventana)</w:t>
            </w:r>
          </w:p>
        </w:tc>
        <w:tc>
          <w:tcPr>
            <w:tcW w:type="dxa" w:w="15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43</w:t>
            </w:r>
          </w:p>
        </w:tc>
        <w:tc>
          <w:tcPr>
            <w:tcW w:type="dxa" w:w="488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Construcción, estado inicial y estructura de cada JFrame</w:t>
            </w:r>
          </w:p>
        </w:tc>
      </w:tr>
      <w:tr>
        <w:tc>
          <w:tcPr>
            <w:tcW w:type="dxa" w:w="3700"/>
            <w:shd w:fill="DEEAF6" w:color="auto" w:val="clear"/>
            <w:tcMar>
              <w:top w:type="dxa" w:w="45"/>
              <w:left w:type="dxa" w:w="80"/>
              <w:bottom w:type="dxa" w:w="45"/>
              <w:right w:type="dxa" w:w="80"/>
            </w:tcMar>
            <w:vAlign w:val="center"/>
          </w:tcPr>
          <w:p>
            <w:pPr>
              <w:spacing w:after="10" w:before="10"/>
              <w:jc w:val="left"/>
            </w:pPr>
            <w:r>
              <w:rPr>
                <w:rFonts w:ascii="Calibri" w:cs="Calibri" w:eastAsia="Calibri" w:hAnsi="Calibri"/>
                <w:b/>
                <w:bCs/>
                <w:sz w:val="16"/>
                <w:szCs w:val="16"/>
              </w:rPr>
              <w:t xml:space="preserve">TOTAL</w:t>
            </w:r>
          </w:p>
        </w:tc>
        <w:tc>
          <w:tcPr>
            <w:tcW w:type="dxa" w:w="1500"/>
            <w:shd w:fill="DEEAF6" w:color="auto" w:val="clear"/>
            <w:tcMar>
              <w:top w:type="dxa" w:w="45"/>
              <w:left w:type="dxa" w:w="80"/>
              <w:bottom w:type="dxa" w:w="45"/>
              <w:right w:type="dxa" w:w="80"/>
            </w:tcMar>
            <w:vAlign w:val="center"/>
          </w:tcPr>
          <w:p>
            <w:pPr>
              <w:spacing w:after="10" w:before="10"/>
              <w:jc w:val="center"/>
            </w:pPr>
            <w:r>
              <w:rPr>
                <w:rFonts w:ascii="Calibri" w:cs="Calibri" w:eastAsia="Calibri" w:hAnsi="Calibri"/>
                <w:b/>
                <w:bCs/>
                <w:sz w:val="16"/>
                <w:szCs w:val="16"/>
              </w:rPr>
              <w:t xml:space="preserve">70</w:t>
            </w:r>
          </w:p>
        </w:tc>
        <w:tc>
          <w:tcPr>
            <w:tcW w:type="dxa" w:w="4880"/>
            <w:shd w:fill="DEEAF6" w:color="auto" w:val="clear"/>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Ejecutadas con MySQL activo en localhost:3306</w:t>
            </w:r>
          </w:p>
        </w:tc>
      </w:tr>
    </w:tbl>
    <w:p>
      <w:pPr>
        <w:spacing w:after="160"/>
      </w:pPr>
      <w:r>
        <w:rPr>
          <w:rFonts w:ascii="Calibri" w:cs="Calibri" w:eastAsia="Calibri" w:hAnsi="Calibri"/>
        </w:rPr>
        <w:t xml:space="preserve"/>
      </w:r>
    </w:p>
    <w:p>
      <w:pPr>
        <w:spacing w:after="80" w:before="100"/>
        <w:jc w:val="center"/>
      </w:pPr>
      <w:r>
        <w:drawing>
          <wp:inline distT="0" distB="0" distL="0" distR="0">
            <wp:extent cx="47625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638425"/>
                    </a:xfrm>
                    <a:prstGeom prst="rect">
                      <a:avLst/>
                    </a:prstGeom>
                  </pic:spPr>
                </pic:pic>
              </a:graphicData>
            </a:graphic>
          </wp:inline>
        </w:drawing>
      </w:r>
    </w:p>
    <w:p>
      <w:pPr>
        <w:spacing w:after="200"/>
        <w:jc w:val="center"/>
      </w:pPr>
      <w:r>
        <w:rPr>
          <w:rFonts w:ascii="Calibri" w:cs="Calibri" w:eastAsia="Calibri" w:hAnsi="Calibri"/>
          <w:i/>
          <w:iCs/>
          <w:color w:val="666666"/>
          <w:sz w:val="17"/>
          <w:szCs w:val="17"/>
        </w:rPr>
        <w:t xml:space="preserve">Figura 7. Bitácora de JUnit: las 70 pruebas de la suite en verde, 100 % aprobadas en 13.672 segundos.</w:t>
      </w:r>
    </w:p>
    <w:p>
      <w:pPr>
        <w:spacing w:after="110" w:before="0" w:line="264"/>
      </w:pPr>
      <w:r>
        <w:rPr>
          <w:rFonts w:ascii="Calibri" w:cs="Calibri" w:eastAsia="Calibri" w:hAnsi="Calibri"/>
          <w:sz w:val="21"/>
          <w:szCs w:val="21"/>
        </w:rPr>
        <w:t xml:space="preserve">La suite completa se ejecuta sin fallos ni errores. Las 27 pruebas que no dependen de MySQL fueron además verificadas de forma independiente compilando y corriendo la suite fuera del entorno de desarrollo, con el mismo resultado.</w:t>
      </w:r>
    </w:p>
    <w:p>
      <w:r>
        <w:br w:type="page"/>
      </w:r>
    </w:p>
    <w:p>
      <w:pPr>
        <w:pStyle w:val="Heading1"/>
        <w:spacing w:after="120" w:before="240"/>
      </w:pPr>
      <w:r>
        <w:rPr>
          <w:rFonts w:ascii="Calibri" w:cs="Calibri" w:eastAsia="Calibri" w:hAnsi="Calibri"/>
          <w:b/>
          <w:bCs/>
          <w:color w:val="1F3864"/>
          <w:sz w:val="28"/>
          <w:szCs w:val="28"/>
        </w:rPr>
        <w:t xml:space="preserve">7. Análisis métrico del software</w:t>
      </w:r>
    </w:p>
    <w:p>
      <w:pPr>
        <w:pStyle w:val="Heading2"/>
        <w:spacing w:after="120" w:before="240"/>
      </w:pPr>
      <w:r>
        <w:rPr>
          <w:rFonts w:ascii="Calibri" w:cs="Calibri" w:eastAsia="Calibri" w:hAnsi="Calibri"/>
          <w:b/>
          <w:bCs/>
          <w:color w:val="1F3864"/>
          <w:sz w:val="24"/>
          <w:szCs w:val="24"/>
        </w:rPr>
        <w:t xml:space="preserve">7.1 Métrica de tamaño: LOC efectivas y densidad de comentarios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1700"/>
        <w:gridCol w:w="1700"/>
        <w:gridCol w:w="2280"/>
      </w:tblGrid>
      <w:tr>
        <w:trPr>
          <w:tblHeader/>
        </w:trPr>
        <w:tc>
          <w:tcPr>
            <w:tcW w:type="dxa" w:w="2500"/>
            <w:shd w:fill="1F3864" w:color="auto" w:val="clear"/>
            <w:tcMar>
              <w:top w:type="dxa" w:w="45"/>
              <w:left w:type="dxa" w:w="80"/>
              <w:bottom w:type="dxa" w:w="45"/>
              <w:right w:type="dxa" w:w="80"/>
            </w:tcMar>
            <w:vAlign w:val="center"/>
          </w:tcPr>
          <w:p>
            <w:pPr>
              <w:spacing w:after="10" w:before="10"/>
              <w:jc w:val="left"/>
            </w:pPr>
            <w:r>
              <w:rPr>
                <w:rFonts w:ascii="Calibri" w:cs="Calibri" w:eastAsia="Calibri" w:hAnsi="Calibri"/>
                <w:b/>
                <w:bCs/>
                <w:color w:val="FFFFFF"/>
                <w:sz w:val="16"/>
                <w:szCs w:val="16"/>
              </w:rPr>
              <w:t xml:space="preserve">Paquete</w:t>
            </w:r>
          </w:p>
        </w:tc>
        <w:tc>
          <w:tcPr>
            <w:tcW w:type="dxa" w:w="1900"/>
            <w:shd w:fill="1F3864" w:color="auto" w:val="clear"/>
            <w:tcMar>
              <w:top w:type="dxa" w:w="45"/>
              <w:left w:type="dxa" w:w="80"/>
              <w:bottom w:type="dxa" w:w="45"/>
              <w:right w:type="dxa" w:w="80"/>
            </w:tcMar>
            <w:vAlign w:val="center"/>
          </w:tcPr>
          <w:p>
            <w:pPr>
              <w:spacing w:after="10" w:before="10"/>
              <w:jc w:val="center"/>
            </w:pPr>
            <w:r>
              <w:rPr>
                <w:rFonts w:ascii="Calibri" w:cs="Calibri" w:eastAsia="Calibri" w:hAnsi="Calibri"/>
                <w:b/>
                <w:bCs/>
                <w:color w:val="FFFFFF"/>
                <w:sz w:val="16"/>
                <w:szCs w:val="16"/>
              </w:rPr>
              <w:t xml:space="preserve">LOC efectivas</w:t>
            </w:r>
          </w:p>
        </w:tc>
        <w:tc>
          <w:tcPr>
            <w:tcW w:type="dxa" w:w="1700"/>
            <w:shd w:fill="1F3864" w:color="auto" w:val="clear"/>
            <w:tcMar>
              <w:top w:type="dxa" w:w="45"/>
              <w:left w:type="dxa" w:w="80"/>
              <w:bottom w:type="dxa" w:w="45"/>
              <w:right w:type="dxa" w:w="80"/>
            </w:tcMar>
            <w:vAlign w:val="center"/>
          </w:tcPr>
          <w:p>
            <w:pPr>
              <w:spacing w:after="10" w:before="10"/>
              <w:jc w:val="center"/>
            </w:pPr>
            <w:r>
              <w:rPr>
                <w:rFonts w:ascii="Calibri" w:cs="Calibri" w:eastAsia="Calibri" w:hAnsi="Calibri"/>
                <w:b/>
                <w:bCs/>
                <w:color w:val="FFFFFF"/>
                <w:sz w:val="16"/>
                <w:szCs w:val="16"/>
              </w:rPr>
              <w:t xml:space="preserve">Comentarios</w:t>
            </w:r>
          </w:p>
        </w:tc>
        <w:tc>
          <w:tcPr>
            <w:tcW w:type="dxa" w:w="1700"/>
            <w:shd w:fill="1F3864" w:color="auto" w:val="clear"/>
            <w:tcMar>
              <w:top w:type="dxa" w:w="45"/>
              <w:left w:type="dxa" w:w="80"/>
              <w:bottom w:type="dxa" w:w="45"/>
              <w:right w:type="dxa" w:w="80"/>
            </w:tcMar>
            <w:vAlign w:val="center"/>
          </w:tcPr>
          <w:p>
            <w:pPr>
              <w:spacing w:after="10" w:before="10"/>
              <w:jc w:val="center"/>
            </w:pPr>
            <w:r>
              <w:rPr>
                <w:rFonts w:ascii="Calibri" w:cs="Calibri" w:eastAsia="Calibri" w:hAnsi="Calibri"/>
                <w:b/>
                <w:bCs/>
                <w:color w:val="FFFFFF"/>
                <w:sz w:val="16"/>
                <w:szCs w:val="16"/>
              </w:rPr>
              <w:t xml:space="preserve">En blanco</w:t>
            </w:r>
          </w:p>
        </w:tc>
        <w:tc>
          <w:tcPr>
            <w:tcW w:type="dxa" w:w="2280"/>
            <w:shd w:fill="1F3864" w:color="auto" w:val="clear"/>
            <w:tcMar>
              <w:top w:type="dxa" w:w="45"/>
              <w:left w:type="dxa" w:w="80"/>
              <w:bottom w:type="dxa" w:w="45"/>
              <w:right w:type="dxa" w:w="80"/>
            </w:tcMar>
            <w:vAlign w:val="center"/>
          </w:tcPr>
          <w:p>
            <w:pPr>
              <w:spacing w:after="10" w:before="10"/>
              <w:jc w:val="center"/>
            </w:pPr>
            <w:r>
              <w:rPr>
                <w:rFonts w:ascii="Calibri" w:cs="Calibri" w:eastAsia="Calibri" w:hAnsi="Calibri"/>
                <w:b/>
                <w:bCs/>
                <w:color w:val="FFFFFF"/>
                <w:sz w:val="16"/>
                <w:szCs w:val="16"/>
              </w:rPr>
              <w:t xml:space="preserve">Densidad</w:t>
            </w:r>
          </w:p>
        </w:tc>
      </w:tr>
      <w:tr>
        <w:tc>
          <w:tcPr>
            <w:tcW w:type="dxa" w:w="2500"/>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ClasesBiblia (modelo)</w:t>
            </w:r>
          </w:p>
        </w:tc>
        <w:tc>
          <w:tcPr>
            <w:tcW w:type="dxa" w:w="19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252</w:t>
            </w:r>
          </w:p>
        </w:tc>
        <w:tc>
          <w:tcPr>
            <w:tcW w:type="dxa" w:w="17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20</w:t>
            </w:r>
          </w:p>
        </w:tc>
        <w:tc>
          <w:tcPr>
            <w:tcW w:type="dxa" w:w="17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83</w:t>
            </w:r>
          </w:p>
        </w:tc>
        <w:tc>
          <w:tcPr>
            <w:tcW w:type="dxa" w:w="228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7.94 %</w:t>
            </w:r>
          </w:p>
        </w:tc>
      </w:tr>
      <w:tr>
        <w:tc>
          <w:tcPr>
            <w:tcW w:type="dxa" w:w="2500"/>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DAOBiblia (persistencia)</w:t>
            </w:r>
          </w:p>
        </w:tc>
        <w:tc>
          <w:tcPr>
            <w:tcW w:type="dxa" w:w="19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606</w:t>
            </w:r>
          </w:p>
        </w:tc>
        <w:tc>
          <w:tcPr>
            <w:tcW w:type="dxa" w:w="17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35</w:t>
            </w:r>
          </w:p>
        </w:tc>
        <w:tc>
          <w:tcPr>
            <w:tcW w:type="dxa" w:w="17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105</w:t>
            </w:r>
          </w:p>
        </w:tc>
        <w:tc>
          <w:tcPr>
            <w:tcW w:type="dxa" w:w="228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5.78 %</w:t>
            </w:r>
          </w:p>
        </w:tc>
      </w:tr>
      <w:tr>
        <w:tc>
          <w:tcPr>
            <w:tcW w:type="dxa" w:w="2500"/>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GUIBiblia (interfaz Swing)</w:t>
            </w:r>
          </w:p>
        </w:tc>
        <w:tc>
          <w:tcPr>
            <w:tcW w:type="dxa" w:w="19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3 005</w:t>
            </w:r>
          </w:p>
        </w:tc>
        <w:tc>
          <w:tcPr>
            <w:tcW w:type="dxa" w:w="17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322</w:t>
            </w:r>
          </w:p>
        </w:tc>
        <w:tc>
          <w:tcPr>
            <w:tcW w:type="dxa" w:w="17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373</w:t>
            </w:r>
          </w:p>
        </w:tc>
        <w:tc>
          <w:tcPr>
            <w:tcW w:type="dxa" w:w="228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10.72 %</w:t>
            </w:r>
          </w:p>
        </w:tc>
      </w:tr>
      <w:tr>
        <w:tc>
          <w:tcPr>
            <w:tcW w:type="dxa" w:w="2500"/>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ConsolaBiblia (consola)</w:t>
            </w:r>
          </w:p>
        </w:tc>
        <w:tc>
          <w:tcPr>
            <w:tcW w:type="dxa" w:w="19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84</w:t>
            </w:r>
          </w:p>
        </w:tc>
        <w:tc>
          <w:tcPr>
            <w:tcW w:type="dxa" w:w="17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0</w:t>
            </w:r>
          </w:p>
        </w:tc>
        <w:tc>
          <w:tcPr>
            <w:tcW w:type="dxa" w:w="17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12</w:t>
            </w:r>
          </w:p>
        </w:tc>
        <w:tc>
          <w:tcPr>
            <w:tcW w:type="dxa" w:w="228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0.00 %</w:t>
            </w:r>
          </w:p>
        </w:tc>
      </w:tr>
      <w:tr>
        <w:tc>
          <w:tcPr>
            <w:tcW w:type="dxa" w:w="2500"/>
            <w:shd w:fill="DEEAF6" w:color="auto" w:val="clear"/>
            <w:tcMar>
              <w:top w:type="dxa" w:w="45"/>
              <w:left w:type="dxa" w:w="80"/>
              <w:bottom w:type="dxa" w:w="45"/>
              <w:right w:type="dxa" w:w="80"/>
            </w:tcMar>
            <w:vAlign w:val="center"/>
          </w:tcPr>
          <w:p>
            <w:pPr>
              <w:spacing w:after="10" w:before="10"/>
              <w:jc w:val="left"/>
            </w:pPr>
            <w:r>
              <w:rPr>
                <w:rFonts w:ascii="Calibri" w:cs="Calibri" w:eastAsia="Calibri" w:hAnsi="Calibri"/>
                <w:b/>
                <w:bCs/>
                <w:sz w:val="16"/>
                <w:szCs w:val="16"/>
              </w:rPr>
              <w:t xml:space="preserve">TOTAL producción</w:t>
            </w:r>
          </w:p>
        </w:tc>
        <w:tc>
          <w:tcPr>
            <w:tcW w:type="dxa" w:w="1900"/>
            <w:shd w:fill="DEEAF6" w:color="auto" w:val="clear"/>
            <w:tcMar>
              <w:top w:type="dxa" w:w="45"/>
              <w:left w:type="dxa" w:w="80"/>
              <w:bottom w:type="dxa" w:w="45"/>
              <w:right w:type="dxa" w:w="80"/>
            </w:tcMar>
            <w:vAlign w:val="center"/>
          </w:tcPr>
          <w:p>
            <w:pPr>
              <w:spacing w:after="10" w:before="10"/>
              <w:jc w:val="center"/>
            </w:pPr>
            <w:r>
              <w:rPr>
                <w:rFonts w:ascii="Calibri" w:cs="Calibri" w:eastAsia="Calibri" w:hAnsi="Calibri"/>
                <w:b/>
                <w:bCs/>
                <w:sz w:val="16"/>
                <w:szCs w:val="16"/>
              </w:rPr>
              <w:t xml:space="preserve">3 947</w:t>
            </w:r>
          </w:p>
        </w:tc>
        <w:tc>
          <w:tcPr>
            <w:tcW w:type="dxa" w:w="1700"/>
            <w:shd w:fill="DEEAF6" w:color="auto" w:val="clear"/>
            <w:tcMar>
              <w:top w:type="dxa" w:w="45"/>
              <w:left w:type="dxa" w:w="80"/>
              <w:bottom w:type="dxa" w:w="45"/>
              <w:right w:type="dxa" w:w="80"/>
            </w:tcMar>
            <w:vAlign w:val="center"/>
          </w:tcPr>
          <w:p>
            <w:pPr>
              <w:spacing w:after="10" w:before="10"/>
              <w:jc w:val="center"/>
            </w:pPr>
            <w:r>
              <w:rPr>
                <w:rFonts w:ascii="Calibri" w:cs="Calibri" w:eastAsia="Calibri" w:hAnsi="Calibri"/>
                <w:b/>
                <w:bCs/>
                <w:sz w:val="16"/>
                <w:szCs w:val="16"/>
              </w:rPr>
              <w:t xml:space="preserve">377</w:t>
            </w:r>
          </w:p>
        </w:tc>
        <w:tc>
          <w:tcPr>
            <w:tcW w:type="dxa" w:w="1700"/>
            <w:shd w:fill="DEEAF6" w:color="auto" w:val="clear"/>
            <w:tcMar>
              <w:top w:type="dxa" w:w="45"/>
              <w:left w:type="dxa" w:w="80"/>
              <w:bottom w:type="dxa" w:w="45"/>
              <w:right w:type="dxa" w:w="80"/>
            </w:tcMar>
            <w:vAlign w:val="center"/>
          </w:tcPr>
          <w:p>
            <w:pPr>
              <w:spacing w:after="10" w:before="10"/>
              <w:jc w:val="center"/>
            </w:pPr>
            <w:r>
              <w:rPr>
                <w:rFonts w:ascii="Calibri" w:cs="Calibri" w:eastAsia="Calibri" w:hAnsi="Calibri"/>
                <w:b/>
                <w:bCs/>
                <w:sz w:val="16"/>
                <w:szCs w:val="16"/>
              </w:rPr>
              <w:t xml:space="preserve">573</w:t>
            </w:r>
          </w:p>
        </w:tc>
        <w:tc>
          <w:tcPr>
            <w:tcW w:type="dxa" w:w="2280"/>
            <w:shd w:fill="DEEAF6" w:color="auto" w:val="clear"/>
            <w:tcMar>
              <w:top w:type="dxa" w:w="45"/>
              <w:left w:type="dxa" w:w="80"/>
              <w:bottom w:type="dxa" w:w="45"/>
              <w:right w:type="dxa" w:w="80"/>
            </w:tcMar>
            <w:vAlign w:val="center"/>
          </w:tcPr>
          <w:p>
            <w:pPr>
              <w:spacing w:after="10" w:before="10"/>
              <w:jc w:val="center"/>
            </w:pPr>
            <w:r>
              <w:rPr>
                <w:rFonts w:ascii="Calibri" w:cs="Calibri" w:eastAsia="Calibri" w:hAnsi="Calibri"/>
                <w:b/>
                <w:bCs/>
                <w:sz w:val="16"/>
                <w:szCs w:val="16"/>
              </w:rPr>
              <w:t xml:space="preserve">9.55 %</w:t>
            </w:r>
          </w:p>
        </w:tc>
      </w:tr>
      <w:tr>
        <w:tc>
          <w:tcPr>
            <w:tcW w:type="dxa" w:w="2500"/>
            <w:shd w:fill="F2F2F2" w:color="auto" w:val="clear"/>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TOTAL pruebas</w:t>
            </w:r>
          </w:p>
        </w:tc>
        <w:tc>
          <w:tcPr>
            <w:tcW w:type="dxa" w:w="1900"/>
            <w:shd w:fill="F2F2F2" w:color="auto" w:val="clear"/>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783</w:t>
            </w:r>
          </w:p>
        </w:tc>
        <w:tc>
          <w:tcPr>
            <w:tcW w:type="dxa" w:w="1700"/>
            <w:shd w:fill="F2F2F2" w:color="auto" w:val="clear"/>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40</w:t>
            </w:r>
          </w:p>
        </w:tc>
        <w:tc>
          <w:tcPr>
            <w:tcW w:type="dxa" w:w="1700"/>
            <w:shd w:fill="F2F2F2" w:color="auto" w:val="clear"/>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199</w:t>
            </w:r>
          </w:p>
        </w:tc>
        <w:tc>
          <w:tcPr>
            <w:tcW w:type="dxa" w:w="2280"/>
            <w:shd w:fill="F2F2F2" w:color="auto" w:val="clear"/>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5.11 %</w:t>
            </w:r>
          </w:p>
        </w:tc>
      </w:tr>
    </w:tbl>
    <w:p>
      <w:pPr>
        <w:spacing w:after="140"/>
      </w:pPr>
      <w:r>
        <w:rPr>
          <w:rFonts w:ascii="Calibri" w:cs="Calibri" w:eastAsia="Calibri" w:hAnsi="Calibri"/>
        </w:rPr>
        <w:t xml:space="preserve"/>
      </w:r>
    </w:p>
    <w:p>
      <w:pPr>
        <w:spacing w:after="110" w:before="0" w:line="264"/>
      </w:pPr>
      <w:r>
        <w:rPr>
          <w:rFonts w:ascii="Calibri" w:cs="Calibri" w:eastAsia="Calibri" w:hAnsi="Calibri"/>
          <w:sz w:val="21"/>
          <w:szCs w:val="21"/>
        </w:rPr>
        <w:t xml:space="preserve">El 76 % del código de producción reside en GUIBiblia, y la gran mayoría corresponde al método initComponents() que el editor de formularios genera automáticamente entre las marcas GEN-BEGIN y GEN-END: código que el equipo no escribió, que no contiene reglas de negocio y que no puede modificarse a mano sin romper la sincronización con el archivo .form. La lógica de dominio verdadera representa apenas el 21.7 % del total, 858 de 3 947 líneas.</w:t>
      </w:r>
    </w:p>
    <w:p>
      <w:pPr>
        <w:spacing w:after="110" w:before="0" w:line="264"/>
      </w:pPr>
      <w:r>
        <w:rPr>
          <w:rFonts w:ascii="Calibri" w:cs="Calibri" w:eastAsia="Calibri" w:hAnsi="Calibri"/>
          <w:sz w:val="21"/>
          <w:szCs w:val="21"/>
        </w:rPr>
        <w:t xml:space="preserve">La densidad de comentarios promedio de 9.55 % queda por debajo del rango de 15 % a 20 % recomendado, y está además distorsionada al alza: GUIBiblia aparenta la densidad más alta solo porque el generador inserta sus propios comentarios de marca, mientras que DAOBiblia, que concentra todo el SQL y el manejo de transacciones, apenas alcanza 5.78 %.</w:t>
      </w:r>
    </w:p>
    <w:p>
      <w:pPr>
        <w:pStyle w:val="Heading2"/>
        <w:spacing w:after="120" w:before="240"/>
      </w:pPr>
      <w:r>
        <w:rPr>
          <w:rFonts w:ascii="Calibri" w:cs="Calibri" w:eastAsia="Calibri" w:hAnsi="Calibri"/>
          <w:b/>
          <w:bCs/>
          <w:color w:val="1F3864"/>
          <w:sz w:val="24"/>
          <w:szCs w:val="24"/>
        </w:rPr>
        <w:t xml:space="preserve">7.2 Métrica de calidad: cobertura de código</w:t>
      </w:r>
    </w:p>
    <w:p>
      <w:pPr>
        <w:spacing w:after="110" w:before="0" w:line="264"/>
      </w:pPr>
      <w:r>
        <w:rPr>
          <w:rFonts w:ascii="Calibri" w:cs="Calibri" w:eastAsia="Calibri" w:hAnsi="Calibri"/>
          <w:sz w:val="21"/>
          <w:szCs w:val="21"/>
        </w:rPr>
        <w:t xml:space="preserve">Medida con JaCoCo ejecutando las 70 pruebas con el agente de instrumentación adjunto, mediante un target medir-cobertura añadido a build.xml, ya que NetBeans 25 no ofrece complemento de Code Coverage: los anteriores se basaban en EMMA, descontinuado.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1700"/>
        <w:gridCol w:w="1500"/>
        <w:gridCol w:w="2580"/>
      </w:tblGrid>
      <w:tr>
        <w:trPr>
          <w:tblHeader/>
        </w:trPr>
        <w:tc>
          <w:tcPr>
            <w:tcW w:type="dxa" w:w="2600"/>
            <w:shd w:fill="1F3864" w:color="auto" w:val="clear"/>
            <w:tcMar>
              <w:top w:type="dxa" w:w="45"/>
              <w:left w:type="dxa" w:w="80"/>
              <w:bottom w:type="dxa" w:w="45"/>
              <w:right w:type="dxa" w:w="80"/>
            </w:tcMar>
            <w:vAlign w:val="center"/>
          </w:tcPr>
          <w:p>
            <w:pPr>
              <w:spacing w:after="10" w:before="10"/>
              <w:jc w:val="left"/>
            </w:pPr>
            <w:r>
              <w:rPr>
                <w:rFonts w:ascii="Calibri" w:cs="Calibri" w:eastAsia="Calibri" w:hAnsi="Calibri"/>
                <w:b/>
                <w:bCs/>
                <w:color w:val="FFFFFF"/>
                <w:sz w:val="16"/>
                <w:szCs w:val="16"/>
              </w:rPr>
              <w:t xml:space="preserve">Ámbito</w:t>
            </w:r>
          </w:p>
        </w:tc>
        <w:tc>
          <w:tcPr>
            <w:tcW w:type="dxa" w:w="1700"/>
            <w:shd w:fill="1F3864" w:color="auto" w:val="clear"/>
            <w:tcMar>
              <w:top w:type="dxa" w:w="45"/>
              <w:left w:type="dxa" w:w="80"/>
              <w:bottom w:type="dxa" w:w="45"/>
              <w:right w:type="dxa" w:w="80"/>
            </w:tcMar>
            <w:vAlign w:val="center"/>
          </w:tcPr>
          <w:p>
            <w:pPr>
              <w:spacing w:after="10" w:before="10"/>
              <w:jc w:val="center"/>
            </w:pPr>
            <w:r>
              <w:rPr>
                <w:rFonts w:ascii="Calibri" w:cs="Calibri" w:eastAsia="Calibri" w:hAnsi="Calibri"/>
                <w:b/>
                <w:bCs/>
                <w:color w:val="FFFFFF"/>
                <w:sz w:val="16"/>
                <w:szCs w:val="16"/>
              </w:rPr>
              <w:t xml:space="preserve">Instrucciones</w:t>
            </w:r>
          </w:p>
        </w:tc>
        <w:tc>
          <w:tcPr>
            <w:tcW w:type="dxa" w:w="1700"/>
            <w:shd w:fill="1F3864" w:color="auto" w:val="clear"/>
            <w:tcMar>
              <w:top w:type="dxa" w:w="45"/>
              <w:left w:type="dxa" w:w="80"/>
              <w:bottom w:type="dxa" w:w="45"/>
              <w:right w:type="dxa" w:w="80"/>
            </w:tcMar>
            <w:vAlign w:val="center"/>
          </w:tcPr>
          <w:p>
            <w:pPr>
              <w:spacing w:after="10" w:before="10"/>
              <w:jc w:val="center"/>
            </w:pPr>
            <w:r>
              <w:rPr>
                <w:rFonts w:ascii="Calibri" w:cs="Calibri" w:eastAsia="Calibri" w:hAnsi="Calibri"/>
                <w:b/>
                <w:bCs/>
                <w:color w:val="FFFFFF"/>
                <w:sz w:val="16"/>
                <w:szCs w:val="16"/>
              </w:rPr>
              <w:t xml:space="preserve">Ramas</w:t>
            </w:r>
          </w:p>
        </w:tc>
        <w:tc>
          <w:tcPr>
            <w:tcW w:type="dxa" w:w="1500"/>
            <w:shd w:fill="1F3864" w:color="auto" w:val="clear"/>
            <w:tcMar>
              <w:top w:type="dxa" w:w="45"/>
              <w:left w:type="dxa" w:w="80"/>
              <w:bottom w:type="dxa" w:w="45"/>
              <w:right w:type="dxa" w:w="80"/>
            </w:tcMar>
            <w:vAlign w:val="center"/>
          </w:tcPr>
          <w:p>
            <w:pPr>
              <w:spacing w:after="10" w:before="10"/>
              <w:jc w:val="center"/>
            </w:pPr>
            <w:r>
              <w:rPr>
                <w:rFonts w:ascii="Calibri" w:cs="Calibri" w:eastAsia="Calibri" w:hAnsi="Calibri"/>
                <w:b/>
                <w:bCs/>
                <w:color w:val="FFFFFF"/>
                <w:sz w:val="16"/>
                <w:szCs w:val="16"/>
              </w:rPr>
              <w:t xml:space="preserve">Líneas</w:t>
            </w:r>
          </w:p>
        </w:tc>
        <w:tc>
          <w:tcPr>
            <w:tcW w:type="dxa" w:w="2580"/>
            <w:shd w:fill="1F3864" w:color="auto" w:val="clear"/>
            <w:tcMar>
              <w:top w:type="dxa" w:w="45"/>
              <w:left w:type="dxa" w:w="80"/>
              <w:bottom w:type="dxa" w:w="45"/>
              <w:right w:type="dxa" w:w="80"/>
            </w:tcMar>
            <w:vAlign w:val="center"/>
          </w:tcPr>
          <w:p>
            <w:pPr>
              <w:spacing w:after="10" w:before="10"/>
              <w:jc w:val="center"/>
            </w:pPr>
            <w:r>
              <w:rPr>
                <w:rFonts w:ascii="Calibri" w:cs="Calibri" w:eastAsia="Calibri" w:hAnsi="Calibri"/>
                <w:b/>
                <w:bCs/>
                <w:color w:val="FFFFFF"/>
                <w:sz w:val="16"/>
                <w:szCs w:val="16"/>
              </w:rPr>
              <w:t xml:space="preserve">Observación</w:t>
            </w:r>
          </w:p>
        </w:tc>
      </w:tr>
      <w:tr>
        <w:tc>
          <w:tcPr>
            <w:tcW w:type="dxa" w:w="2600"/>
            <w:shd w:fill="DEEAF6" w:color="auto" w:val="clear"/>
            <w:tcMar>
              <w:top w:type="dxa" w:w="45"/>
              <w:left w:type="dxa" w:w="80"/>
              <w:bottom w:type="dxa" w:w="45"/>
              <w:right w:type="dxa" w:w="80"/>
            </w:tcMar>
            <w:vAlign w:val="center"/>
          </w:tcPr>
          <w:p>
            <w:pPr>
              <w:spacing w:after="10" w:before="10"/>
              <w:jc w:val="left"/>
            </w:pPr>
            <w:r>
              <w:rPr>
                <w:rFonts w:ascii="Calibri" w:cs="Calibri" w:eastAsia="Calibri" w:hAnsi="Calibri"/>
                <w:b/>
                <w:bCs/>
                <w:sz w:val="16"/>
                <w:szCs w:val="16"/>
              </w:rPr>
              <w:t xml:space="preserve">TOTAL del sistema</w:t>
            </w:r>
          </w:p>
        </w:tc>
        <w:tc>
          <w:tcPr>
            <w:tcW w:type="dxa" w:w="1700"/>
            <w:shd w:fill="DEEAF6" w:color="auto" w:val="clear"/>
            <w:tcMar>
              <w:top w:type="dxa" w:w="45"/>
              <w:left w:type="dxa" w:w="80"/>
              <w:bottom w:type="dxa" w:w="45"/>
              <w:right w:type="dxa" w:w="80"/>
            </w:tcMar>
            <w:vAlign w:val="center"/>
          </w:tcPr>
          <w:p>
            <w:pPr>
              <w:spacing w:after="10" w:before="10"/>
              <w:jc w:val="center"/>
            </w:pPr>
            <w:r>
              <w:rPr>
                <w:rFonts w:ascii="Calibri" w:cs="Calibri" w:eastAsia="Calibri" w:hAnsi="Calibri"/>
                <w:b/>
                <w:bCs/>
                <w:sz w:val="16"/>
                <w:szCs w:val="16"/>
              </w:rPr>
              <w:t xml:space="preserve">74 %</w:t>
            </w:r>
          </w:p>
        </w:tc>
        <w:tc>
          <w:tcPr>
            <w:tcW w:type="dxa" w:w="1700"/>
            <w:shd w:fill="F4CCCC" w:color="auto" w:val="clear"/>
            <w:tcMar>
              <w:top w:type="dxa" w:w="45"/>
              <w:left w:type="dxa" w:w="80"/>
              <w:bottom w:type="dxa" w:w="45"/>
              <w:right w:type="dxa" w:w="80"/>
            </w:tcMar>
            <w:vAlign w:val="center"/>
          </w:tcPr>
          <w:p>
            <w:pPr>
              <w:spacing w:after="10" w:before="10"/>
              <w:jc w:val="center"/>
            </w:pPr>
            <w:r>
              <w:rPr>
                <w:rFonts w:ascii="Calibri" w:cs="Calibri" w:eastAsia="Calibri" w:hAnsi="Calibri"/>
                <w:b/>
                <w:bCs/>
                <w:sz w:val="16"/>
                <w:szCs w:val="16"/>
              </w:rPr>
              <w:t xml:space="preserve">24 %</w:t>
            </w:r>
          </w:p>
        </w:tc>
        <w:tc>
          <w:tcPr>
            <w:tcW w:type="dxa" w:w="1500"/>
            <w:shd w:fill="DEEAF6" w:color="auto" w:val="clear"/>
            <w:tcMar>
              <w:top w:type="dxa" w:w="45"/>
              <w:left w:type="dxa" w:w="80"/>
              <w:bottom w:type="dxa" w:w="45"/>
              <w:right w:type="dxa" w:w="80"/>
            </w:tcMar>
            <w:vAlign w:val="center"/>
          </w:tcPr>
          <w:p>
            <w:pPr>
              <w:spacing w:after="10" w:before="10"/>
              <w:jc w:val="center"/>
            </w:pPr>
            <w:r>
              <w:rPr>
                <w:rFonts w:ascii="Calibri" w:cs="Calibri" w:eastAsia="Calibri" w:hAnsi="Calibri"/>
                <w:b/>
                <w:bCs/>
                <w:sz w:val="16"/>
                <w:szCs w:val="16"/>
              </w:rPr>
              <w:t xml:space="preserve">65 %</w:t>
            </w:r>
          </w:p>
        </w:tc>
        <w:tc>
          <w:tcPr>
            <w:tcW w:type="dxa" w:w="2580"/>
            <w:shd w:fill="DEEAF6" w:color="auto" w:val="clear"/>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54 de 63 clases tocadas</w:t>
            </w:r>
          </w:p>
        </w:tc>
      </w:tr>
      <w:tr>
        <w:tc>
          <w:tcPr>
            <w:tcW w:type="dxa" w:w="2600"/>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ConsolaBiblia</w:t>
            </w:r>
          </w:p>
        </w:tc>
        <w:tc>
          <w:tcPr>
            <w:tcW w:type="dxa" w:w="1700"/>
            <w:shd w:fill="D9EAD3" w:color="auto" w:val="clear"/>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88 %</w:t>
            </w:r>
          </w:p>
        </w:tc>
        <w:tc>
          <w:tcPr>
            <w:tcW w:type="dxa" w:w="1700"/>
            <w:shd w:fill="D9EAD3" w:color="auto" w:val="clear"/>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65 %</w:t>
            </w:r>
          </w:p>
        </w:tc>
        <w:tc>
          <w:tcPr>
            <w:tcW w:type="dxa" w:w="1500"/>
            <w:shd w:fill="D9EAD3" w:color="auto" w:val="clear"/>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85 %</w:t>
            </w:r>
          </w:p>
        </w:tc>
        <w:tc>
          <w:tcPr>
            <w:tcW w:type="dxa" w:w="258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Diseñado para ser probado</w:t>
            </w:r>
          </w:p>
        </w:tc>
      </w:tr>
      <w:tr>
        <w:tc>
          <w:tcPr>
            <w:tcW w:type="dxa" w:w="2600"/>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GUIBiblia</w:t>
            </w:r>
          </w:p>
        </w:tc>
        <w:tc>
          <w:tcPr>
            <w:tcW w:type="dxa" w:w="17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79 %</w:t>
            </w:r>
          </w:p>
        </w:tc>
        <w:tc>
          <w:tcPr>
            <w:tcW w:type="dxa" w:w="1700"/>
            <w:shd w:fill="F4CCCC" w:color="auto" w:val="clear"/>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14 %</w:t>
            </w:r>
          </w:p>
        </w:tc>
        <w:tc>
          <w:tcPr>
            <w:tcW w:type="dxa" w:w="15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70 %</w:t>
            </w:r>
          </w:p>
        </w:tc>
        <w:tc>
          <w:tcPr>
            <w:tcW w:type="dxa" w:w="258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Instrucciones infladas por código autogenerado</w:t>
            </w:r>
          </w:p>
        </w:tc>
      </w:tr>
      <w:tr>
        <w:tc>
          <w:tcPr>
            <w:tcW w:type="dxa" w:w="2600"/>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ClasesBiblia</w:t>
            </w:r>
          </w:p>
        </w:tc>
        <w:tc>
          <w:tcPr>
            <w:tcW w:type="dxa" w:w="17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64 %</w:t>
            </w:r>
          </w:p>
        </w:tc>
        <w:tc>
          <w:tcPr>
            <w:tcW w:type="dxa" w:w="1700"/>
            <w:shd w:fill="D9EAD3" w:color="auto" w:val="clear"/>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100 %</w:t>
            </w:r>
          </w:p>
        </w:tc>
        <w:tc>
          <w:tcPr>
            <w:tcW w:type="dxa" w:w="15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60 %</w:t>
            </w:r>
          </w:p>
        </w:tc>
        <w:tc>
          <w:tcPr>
            <w:tcW w:type="dxa" w:w="258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Solo existen dos ramas en el paquete</w:t>
            </w:r>
          </w:p>
        </w:tc>
      </w:tr>
      <w:tr>
        <w:tc>
          <w:tcPr>
            <w:tcW w:type="dxa" w:w="2600"/>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DAOBiblia</w:t>
            </w:r>
          </w:p>
        </w:tc>
        <w:tc>
          <w:tcPr>
            <w:tcW w:type="dxa" w:w="1700"/>
            <w:shd w:fill="F4CCCC" w:color="auto" w:val="clear"/>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36 %</w:t>
            </w:r>
          </w:p>
        </w:tc>
        <w:tc>
          <w:tcPr>
            <w:tcW w:type="dxa" w:w="1700"/>
            <w:shd w:fill="FFF2CC" w:color="auto" w:val="clear"/>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38 %</w:t>
            </w:r>
          </w:p>
        </w:tc>
        <w:tc>
          <w:tcPr>
            <w:tcW w:type="dxa" w:w="1500"/>
            <w:shd w:fill="F4CCCC" w:color="auto" w:val="clear"/>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37 %</w:t>
            </w:r>
          </w:p>
        </w:tc>
        <w:tc>
          <w:tcPr>
            <w:tcW w:type="dxa" w:w="258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Se cubre CSV, no los métodos JDBC</w:t>
            </w:r>
          </w:p>
        </w:tc>
      </w:tr>
    </w:tbl>
    <w:p>
      <w:pPr>
        <w:spacing w:after="140"/>
      </w:pPr>
      <w:r>
        <w:rPr>
          <w:rFonts w:ascii="Calibri" w:cs="Calibri" w:eastAsia="Calibri" w:hAnsi="Calibri"/>
        </w:rPr>
        <w:t xml:space="preserve"/>
      </w:r>
    </w:p>
    <w:p>
      <w:pPr>
        <w:spacing w:after="110" w:before="0" w:line="264"/>
      </w:pPr>
      <w:r>
        <w:rPr>
          <w:rFonts w:ascii="Calibri" w:cs="Calibri" w:eastAsia="Calibri" w:hAnsi="Calibri"/>
          <w:sz w:val="21"/>
          <w:szCs w:val="21"/>
        </w:rPr>
        <w:t xml:space="preserve">La justificación crítica del porcentaje alcanzado exige mirar más allá del 65 % de líneas. El dato decisivo es la brecha entre la cobertura de instrucciones, del 74 %, y la de ramas, del 24 %. Cubrir una instrucción significa que la línea se ejecutó al menos una vez; cubrir una rama significa que se ejercitaron ambos caminos de una decisión. Que tres cuartas partes del bytecode se ejecuten mientras solo una cuarta parte de las decisiones se prueban indica que las pruebas recorren el código, pero no lo interrogan.</w:t>
      </w:r>
    </w:p>
    <w:p>
      <w:pPr>
        <w:spacing w:after="110" w:before="0" w:line="264"/>
      </w:pPr>
      <w:r>
        <w:rPr>
          <w:rFonts w:ascii="Calibri" w:cs="Calibri" w:eastAsia="Calibri" w:hAnsi="Calibri"/>
          <w:sz w:val="21"/>
          <w:szCs w:val="21"/>
        </w:rPr>
        <w:t xml:space="preserve">El caso extremo es GUIBiblia, con 79 % de instrucciones y apenas 14 % de ramas: sus 43 pruebas construyen cada JFrame y verifican su estado inicial, lo que ejecuta los cientos de líneas autogeneradas e infla la cobertura de instrucciones sin probar decisiones de negocio. En el extremo opuesto, ConsolaBiblia alcanza 88 % y 65 % por ser el único componente diseñado con la testabilidad como criterio explícito. DAOBiblia se queda en 36 % por una decisión deliberada de alcance: se cubre la persistencia CSV, determinista y reproducible, y no los métodos JDBC, que exigirían un servidor de base de datos activo.</w:t>
      </w:r>
    </w:p>
    <w:p>
      <w:pPr>
        <w:pStyle w:val="Heading2"/>
        <w:spacing w:after="120" w:before="240"/>
      </w:pPr>
      <w:r>
        <w:rPr>
          <w:rFonts w:ascii="Calibri" w:cs="Calibri" w:eastAsia="Calibri" w:hAnsi="Calibri"/>
          <w:b/>
          <w:bCs/>
          <w:color w:val="1F3864"/>
          <w:sz w:val="24"/>
          <w:szCs w:val="24"/>
        </w:rPr>
        <w:t xml:space="preserve">7.3 Métrica de función: matriz de conteo de puntos de función</w:t>
      </w:r>
    </w:p>
    <w:p>
      <w:pPr>
        <w:spacing w:after="110" w:before="0" w:line="264"/>
      </w:pPr>
      <w:r>
        <w:rPr>
          <w:rFonts w:ascii="Calibri" w:cs="Calibri" w:eastAsia="Calibri" w:hAnsi="Calibri"/>
          <w:sz w:val="21"/>
          <w:szCs w:val="21"/>
        </w:rPr>
        <w:t xml:space="preserve">El conteo se realizó sobre la arquitectura, identificando los procesos elementales que cruzan la frontera de la aplicación y determinando su complejidad a partir de los archivos lógicos referenciados y los tipos de datos elementales de cada uno. Los archivos de interfaz externa se registran en cero porque el sistema es completamente local: la base MySQL corre en el mismo equipo y es mantenida solo por esta aplicación, por lo que constituye un archivo lógico interno.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1600"/>
        <w:gridCol w:w="1700"/>
        <w:gridCol w:w="1700"/>
        <w:gridCol w:w="1680"/>
      </w:tblGrid>
      <w:tr>
        <w:trPr>
          <w:tblHeader/>
        </w:trPr>
        <w:tc>
          <w:tcPr>
            <w:tcW w:type="dxa" w:w="3400"/>
            <w:shd w:fill="1F3864" w:color="auto" w:val="clear"/>
            <w:tcMar>
              <w:top w:type="dxa" w:w="45"/>
              <w:left w:type="dxa" w:w="80"/>
              <w:bottom w:type="dxa" w:w="45"/>
              <w:right w:type="dxa" w:w="80"/>
            </w:tcMar>
            <w:vAlign w:val="center"/>
          </w:tcPr>
          <w:p>
            <w:pPr>
              <w:spacing w:after="10" w:before="10"/>
              <w:jc w:val="left"/>
            </w:pPr>
            <w:r>
              <w:rPr>
                <w:rFonts w:ascii="Calibri" w:cs="Calibri" w:eastAsia="Calibri" w:hAnsi="Calibri"/>
                <w:b/>
                <w:bCs/>
                <w:color w:val="FFFFFF"/>
                <w:sz w:val="16"/>
                <w:szCs w:val="16"/>
              </w:rPr>
              <w:t xml:space="preserve">Tipo de componente</w:t>
            </w:r>
          </w:p>
        </w:tc>
        <w:tc>
          <w:tcPr>
            <w:tcW w:type="dxa" w:w="1600"/>
            <w:shd w:fill="1F3864" w:color="auto" w:val="clear"/>
            <w:tcMar>
              <w:top w:type="dxa" w:w="45"/>
              <w:left w:type="dxa" w:w="80"/>
              <w:bottom w:type="dxa" w:w="45"/>
              <w:right w:type="dxa" w:w="80"/>
            </w:tcMar>
            <w:vAlign w:val="center"/>
          </w:tcPr>
          <w:p>
            <w:pPr>
              <w:spacing w:after="10" w:before="10"/>
              <w:jc w:val="center"/>
            </w:pPr>
            <w:r>
              <w:rPr>
                <w:rFonts w:ascii="Calibri" w:cs="Calibri" w:eastAsia="Calibri" w:hAnsi="Calibri"/>
                <w:b/>
                <w:bCs/>
                <w:color w:val="FFFFFF"/>
                <w:sz w:val="16"/>
                <w:szCs w:val="16"/>
              </w:rPr>
              <w:t xml:space="preserve">Cantidad</w:t>
            </w:r>
          </w:p>
        </w:tc>
        <w:tc>
          <w:tcPr>
            <w:tcW w:type="dxa" w:w="1700"/>
            <w:shd w:fill="1F3864" w:color="auto" w:val="clear"/>
            <w:tcMar>
              <w:top w:type="dxa" w:w="45"/>
              <w:left w:type="dxa" w:w="80"/>
              <w:bottom w:type="dxa" w:w="45"/>
              <w:right w:type="dxa" w:w="80"/>
            </w:tcMar>
            <w:vAlign w:val="center"/>
          </w:tcPr>
          <w:p>
            <w:pPr>
              <w:spacing w:after="10" w:before="10"/>
              <w:jc w:val="center"/>
            </w:pPr>
            <w:r>
              <w:rPr>
                <w:rFonts w:ascii="Calibri" w:cs="Calibri" w:eastAsia="Calibri" w:hAnsi="Calibri"/>
                <w:b/>
                <w:bCs/>
                <w:color w:val="FFFFFF"/>
                <w:sz w:val="16"/>
                <w:szCs w:val="16"/>
              </w:rPr>
              <w:t xml:space="preserve">Baja</w:t>
            </w:r>
          </w:p>
        </w:tc>
        <w:tc>
          <w:tcPr>
            <w:tcW w:type="dxa" w:w="1700"/>
            <w:shd w:fill="1F3864" w:color="auto" w:val="clear"/>
            <w:tcMar>
              <w:top w:type="dxa" w:w="45"/>
              <w:left w:type="dxa" w:w="80"/>
              <w:bottom w:type="dxa" w:w="45"/>
              <w:right w:type="dxa" w:w="80"/>
            </w:tcMar>
            <w:vAlign w:val="center"/>
          </w:tcPr>
          <w:p>
            <w:pPr>
              <w:spacing w:after="10" w:before="10"/>
              <w:jc w:val="center"/>
            </w:pPr>
            <w:r>
              <w:rPr>
                <w:rFonts w:ascii="Calibri" w:cs="Calibri" w:eastAsia="Calibri" w:hAnsi="Calibri"/>
                <w:b/>
                <w:bCs/>
                <w:color w:val="FFFFFF"/>
                <w:sz w:val="16"/>
                <w:szCs w:val="16"/>
              </w:rPr>
              <w:t xml:space="preserve">Media</w:t>
            </w:r>
          </w:p>
        </w:tc>
        <w:tc>
          <w:tcPr>
            <w:tcW w:type="dxa" w:w="1680"/>
            <w:shd w:fill="1F3864" w:color="auto" w:val="clear"/>
            <w:tcMar>
              <w:top w:type="dxa" w:w="45"/>
              <w:left w:type="dxa" w:w="80"/>
              <w:bottom w:type="dxa" w:w="45"/>
              <w:right w:type="dxa" w:w="80"/>
            </w:tcMar>
            <w:vAlign w:val="center"/>
          </w:tcPr>
          <w:p>
            <w:pPr>
              <w:spacing w:after="10" w:before="10"/>
              <w:jc w:val="center"/>
            </w:pPr>
            <w:r>
              <w:rPr>
                <w:rFonts w:ascii="Calibri" w:cs="Calibri" w:eastAsia="Calibri" w:hAnsi="Calibri"/>
                <w:b/>
                <w:bCs/>
                <w:color w:val="FFFFFF"/>
                <w:sz w:val="16"/>
                <w:szCs w:val="16"/>
              </w:rPr>
              <w:t xml:space="preserve">Total PF</w:t>
            </w:r>
          </w:p>
        </w:tc>
      </w:tr>
      <w:tr>
        <w:tc>
          <w:tcPr>
            <w:tcW w:type="dxa" w:w="3400"/>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Entradas externas (EE)</w:t>
            </w:r>
          </w:p>
        </w:tc>
        <w:tc>
          <w:tcPr>
            <w:tcW w:type="dxa" w:w="16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14</w:t>
            </w:r>
          </w:p>
        </w:tc>
        <w:tc>
          <w:tcPr>
            <w:tcW w:type="dxa" w:w="17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13 × 3 = 39</w:t>
            </w:r>
          </w:p>
        </w:tc>
        <w:tc>
          <w:tcPr>
            <w:tcW w:type="dxa" w:w="17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1 × 4 = 4</w:t>
            </w:r>
          </w:p>
        </w:tc>
        <w:tc>
          <w:tcPr>
            <w:tcW w:type="dxa" w:w="1680"/>
            <w:tcMar>
              <w:top w:type="dxa" w:w="45"/>
              <w:left w:type="dxa" w:w="80"/>
              <w:bottom w:type="dxa" w:w="45"/>
              <w:right w:type="dxa" w:w="80"/>
            </w:tcMar>
            <w:vAlign w:val="center"/>
          </w:tcPr>
          <w:p>
            <w:pPr>
              <w:spacing w:after="10" w:before="10"/>
              <w:jc w:val="center"/>
            </w:pPr>
            <w:r>
              <w:rPr>
                <w:rFonts w:ascii="Calibri" w:cs="Calibri" w:eastAsia="Calibri" w:hAnsi="Calibri"/>
                <w:b/>
                <w:bCs/>
                <w:sz w:val="16"/>
                <w:szCs w:val="16"/>
              </w:rPr>
              <w:t xml:space="preserve">43</w:t>
            </w:r>
          </w:p>
        </w:tc>
      </w:tr>
      <w:tr>
        <w:tc>
          <w:tcPr>
            <w:tcW w:type="dxa" w:w="3400"/>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Salidas externas (SE)</w:t>
            </w:r>
          </w:p>
        </w:tc>
        <w:tc>
          <w:tcPr>
            <w:tcW w:type="dxa" w:w="16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4</w:t>
            </w:r>
          </w:p>
        </w:tc>
        <w:tc>
          <w:tcPr>
            <w:tcW w:type="dxa" w:w="17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3 × 4 = 12</w:t>
            </w:r>
          </w:p>
        </w:tc>
        <w:tc>
          <w:tcPr>
            <w:tcW w:type="dxa" w:w="17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1 × 5 = 5</w:t>
            </w:r>
          </w:p>
        </w:tc>
        <w:tc>
          <w:tcPr>
            <w:tcW w:type="dxa" w:w="1680"/>
            <w:tcMar>
              <w:top w:type="dxa" w:w="45"/>
              <w:left w:type="dxa" w:w="80"/>
              <w:bottom w:type="dxa" w:w="45"/>
              <w:right w:type="dxa" w:w="80"/>
            </w:tcMar>
            <w:vAlign w:val="center"/>
          </w:tcPr>
          <w:p>
            <w:pPr>
              <w:spacing w:after="10" w:before="10"/>
              <w:jc w:val="center"/>
            </w:pPr>
            <w:r>
              <w:rPr>
                <w:rFonts w:ascii="Calibri" w:cs="Calibri" w:eastAsia="Calibri" w:hAnsi="Calibri"/>
                <w:b/>
                <w:bCs/>
                <w:sz w:val="16"/>
                <w:szCs w:val="16"/>
              </w:rPr>
              <w:t xml:space="preserve">17</w:t>
            </w:r>
          </w:p>
        </w:tc>
      </w:tr>
      <w:tr>
        <w:tc>
          <w:tcPr>
            <w:tcW w:type="dxa" w:w="3400"/>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Consultas externas (CE)</w:t>
            </w:r>
          </w:p>
        </w:tc>
        <w:tc>
          <w:tcPr>
            <w:tcW w:type="dxa" w:w="16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4</w:t>
            </w:r>
          </w:p>
        </w:tc>
        <w:tc>
          <w:tcPr>
            <w:tcW w:type="dxa" w:w="17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4 × 3 = 12</w:t>
            </w:r>
          </w:p>
        </w:tc>
        <w:tc>
          <w:tcPr>
            <w:tcW w:type="dxa" w:w="17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w:t>
            </w:r>
          </w:p>
        </w:tc>
        <w:tc>
          <w:tcPr>
            <w:tcW w:type="dxa" w:w="1680"/>
            <w:tcMar>
              <w:top w:type="dxa" w:w="45"/>
              <w:left w:type="dxa" w:w="80"/>
              <w:bottom w:type="dxa" w:w="45"/>
              <w:right w:type="dxa" w:w="80"/>
            </w:tcMar>
            <w:vAlign w:val="center"/>
          </w:tcPr>
          <w:p>
            <w:pPr>
              <w:spacing w:after="10" w:before="10"/>
              <w:jc w:val="center"/>
            </w:pPr>
            <w:r>
              <w:rPr>
                <w:rFonts w:ascii="Calibri" w:cs="Calibri" w:eastAsia="Calibri" w:hAnsi="Calibri"/>
                <w:b/>
                <w:bCs/>
                <w:sz w:val="16"/>
                <w:szCs w:val="16"/>
              </w:rPr>
              <w:t xml:space="preserve">12</w:t>
            </w:r>
          </w:p>
        </w:tc>
      </w:tr>
      <w:tr>
        <w:tc>
          <w:tcPr>
            <w:tcW w:type="dxa" w:w="3400"/>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Archivos lógicos internos (ALI)</w:t>
            </w:r>
          </w:p>
        </w:tc>
        <w:tc>
          <w:tcPr>
            <w:tcW w:type="dxa" w:w="16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4</w:t>
            </w:r>
          </w:p>
        </w:tc>
        <w:tc>
          <w:tcPr>
            <w:tcW w:type="dxa" w:w="17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4 × 7 = 28</w:t>
            </w:r>
          </w:p>
        </w:tc>
        <w:tc>
          <w:tcPr>
            <w:tcW w:type="dxa" w:w="17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w:t>
            </w:r>
          </w:p>
        </w:tc>
        <w:tc>
          <w:tcPr>
            <w:tcW w:type="dxa" w:w="1680"/>
            <w:tcMar>
              <w:top w:type="dxa" w:w="45"/>
              <w:left w:type="dxa" w:w="80"/>
              <w:bottom w:type="dxa" w:w="45"/>
              <w:right w:type="dxa" w:w="80"/>
            </w:tcMar>
            <w:vAlign w:val="center"/>
          </w:tcPr>
          <w:p>
            <w:pPr>
              <w:spacing w:after="10" w:before="10"/>
              <w:jc w:val="center"/>
            </w:pPr>
            <w:r>
              <w:rPr>
                <w:rFonts w:ascii="Calibri" w:cs="Calibri" w:eastAsia="Calibri" w:hAnsi="Calibri"/>
                <w:b/>
                <w:bCs/>
                <w:sz w:val="16"/>
                <w:szCs w:val="16"/>
              </w:rPr>
              <w:t xml:space="preserve">28</w:t>
            </w:r>
          </w:p>
        </w:tc>
      </w:tr>
      <w:tr>
        <w:tc>
          <w:tcPr>
            <w:tcW w:type="dxa" w:w="3400"/>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Archivos de interfaz externa (AIE)</w:t>
            </w:r>
          </w:p>
        </w:tc>
        <w:tc>
          <w:tcPr>
            <w:tcW w:type="dxa" w:w="16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0</w:t>
            </w:r>
          </w:p>
        </w:tc>
        <w:tc>
          <w:tcPr>
            <w:tcW w:type="dxa" w:w="17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w:t>
            </w:r>
          </w:p>
        </w:tc>
        <w:tc>
          <w:tcPr>
            <w:tcW w:type="dxa" w:w="17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w:t>
            </w:r>
          </w:p>
        </w:tc>
        <w:tc>
          <w:tcPr>
            <w:tcW w:type="dxa" w:w="1680"/>
            <w:tcMar>
              <w:top w:type="dxa" w:w="45"/>
              <w:left w:type="dxa" w:w="80"/>
              <w:bottom w:type="dxa" w:w="45"/>
              <w:right w:type="dxa" w:w="80"/>
            </w:tcMar>
            <w:vAlign w:val="center"/>
          </w:tcPr>
          <w:p>
            <w:pPr>
              <w:spacing w:after="10" w:before="10"/>
              <w:jc w:val="center"/>
            </w:pPr>
            <w:r>
              <w:rPr>
                <w:rFonts w:ascii="Calibri" w:cs="Calibri" w:eastAsia="Calibri" w:hAnsi="Calibri"/>
                <w:b/>
                <w:bCs/>
                <w:sz w:val="16"/>
                <w:szCs w:val="16"/>
              </w:rPr>
              <w:t xml:space="preserve">0</w:t>
            </w:r>
          </w:p>
        </w:tc>
      </w:tr>
      <w:tr>
        <w:tc>
          <w:tcPr>
            <w:tcW w:type="dxa" w:w="3400"/>
            <w:shd w:fill="1F3864" w:color="auto" w:val="clear"/>
            <w:tcMar>
              <w:top w:type="dxa" w:w="45"/>
              <w:left w:type="dxa" w:w="80"/>
              <w:bottom w:type="dxa" w:w="45"/>
              <w:right w:type="dxa" w:w="80"/>
            </w:tcMar>
            <w:vAlign w:val="center"/>
          </w:tcPr>
          <w:p>
            <w:pPr>
              <w:spacing w:after="10" w:before="10"/>
              <w:jc w:val="left"/>
            </w:pPr>
            <w:r>
              <w:rPr>
                <w:rFonts w:ascii="Calibri" w:cs="Calibri" w:eastAsia="Calibri" w:hAnsi="Calibri"/>
                <w:b/>
                <w:bCs/>
                <w:color w:val="FFFFFF"/>
                <w:sz w:val="16"/>
                <w:szCs w:val="16"/>
              </w:rPr>
              <w:t xml:space="preserve">PUNTOS DE FUNCIÓN SIN AJUSTAR</w:t>
            </w:r>
          </w:p>
        </w:tc>
        <w:tc>
          <w:tcPr>
            <w:tcW w:type="dxa" w:w="1600"/>
            <w:shd w:fill="1F3864" w:color="auto" w:val="clear"/>
            <w:tcMar>
              <w:top w:type="dxa" w:w="45"/>
              <w:left w:type="dxa" w:w="80"/>
              <w:bottom w:type="dxa" w:w="45"/>
              <w:right w:type="dxa" w:w="80"/>
            </w:tcMar>
            <w:vAlign w:val="center"/>
          </w:tcPr>
          <w:p>
            <w:pPr>
              <w:spacing w:after="10" w:before="10"/>
              <w:jc w:val="center"/>
            </w:pPr>
            <w:r>
              <w:rPr>
                <w:rFonts w:ascii="Calibri" w:cs="Calibri" w:eastAsia="Calibri" w:hAnsi="Calibri"/>
                <w:b/>
                <w:bCs/>
                <w:color w:val="FFFFFF"/>
                <w:sz w:val="16"/>
                <w:szCs w:val="16"/>
              </w:rPr>
              <w:t xml:space="preserve">26</w:t>
            </w:r>
          </w:p>
        </w:tc>
        <w:tc>
          <w:tcPr>
            <w:tcW w:type="dxa" w:w="1700"/>
            <w:shd w:fill="1F3864" w:color="auto" w:val="clear"/>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
            </w:r>
          </w:p>
        </w:tc>
        <w:tc>
          <w:tcPr>
            <w:tcW w:type="dxa" w:w="1700"/>
            <w:shd w:fill="1F3864" w:color="auto" w:val="clear"/>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
            </w:r>
          </w:p>
        </w:tc>
        <w:tc>
          <w:tcPr>
            <w:tcW w:type="dxa" w:w="1680"/>
            <w:shd w:fill="1F3864" w:color="auto" w:val="clear"/>
            <w:tcMar>
              <w:top w:type="dxa" w:w="45"/>
              <w:left w:type="dxa" w:w="80"/>
              <w:bottom w:type="dxa" w:w="45"/>
              <w:right w:type="dxa" w:w="80"/>
            </w:tcMar>
            <w:vAlign w:val="center"/>
          </w:tcPr>
          <w:p>
            <w:pPr>
              <w:spacing w:after="10" w:before="10"/>
              <w:jc w:val="center"/>
            </w:pPr>
            <w:r>
              <w:rPr>
                <w:rFonts w:ascii="Calibri" w:cs="Calibri" w:eastAsia="Calibri" w:hAnsi="Calibri"/>
                <w:b/>
                <w:bCs/>
                <w:color w:val="FFFFFF"/>
                <w:sz w:val="16"/>
                <w:szCs w:val="16"/>
              </w:rPr>
              <w:t xml:space="preserve">100</w:t>
            </w:r>
          </w:p>
        </w:tc>
      </w:tr>
    </w:tbl>
    <w:p>
      <w:pPr>
        <w:spacing w:after="140"/>
      </w:pPr>
      <w:r>
        <w:rPr>
          <w:rFonts w:ascii="Calibri" w:cs="Calibri" w:eastAsia="Calibri" w:hAnsi="Calibri"/>
        </w:rPr>
        <w:t xml:space="preserve"/>
      </w:r>
    </w:p>
    <w:p>
      <w:pPr>
        <w:spacing w:after="110" w:before="0" w:line="264"/>
      </w:pPr>
      <w:r>
        <w:rPr>
          <w:rFonts w:ascii="Calibri" w:cs="Calibri" w:eastAsia="Calibri" w:hAnsi="Calibri"/>
          <w:sz w:val="21"/>
          <w:szCs w:val="21"/>
        </w:rPr>
        <w:t xml:space="preserve">Con el factor de ajuste calculado sobre las catorce características generales del sistema, cuyo grado total de influencia resultó de 21, el factor es 0.86 y los puntos ajustados ascienden a 86. La relación observada es de 39.5 líneas por punto de función, por debajo del valor de referencia habitual para Java, que ronda las 50. La lectura correcta no es que el código sea conciso, sino que buena parte del tamaño se genera automáticamente y la funcionalidad real es modesta frente al volumen que la envuelve.</w:t>
      </w:r>
    </w:p>
    <w:p>
      <w:pPr>
        <w:pStyle w:val="Heading2"/>
        <w:spacing w:after="120" w:before="240"/>
      </w:pPr>
      <w:r>
        <w:rPr>
          <w:rFonts w:ascii="Calibri" w:cs="Calibri" w:eastAsia="Calibri" w:hAnsi="Calibri"/>
          <w:b/>
          <w:bCs/>
          <w:color w:val="1F3864"/>
          <w:sz w:val="24"/>
          <w:szCs w:val="24"/>
        </w:rPr>
        <w:t xml:space="preserve">7.4 Métricas complementarias de diseño orientado a objetos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00"/>
        <w:gridCol w:w="1400"/>
        <w:gridCol w:w="1600"/>
        <w:gridCol w:w="4280"/>
      </w:tblGrid>
      <w:tr>
        <w:trPr>
          <w:tblHeader/>
        </w:trPr>
        <w:tc>
          <w:tcPr>
            <w:tcW w:type="dxa" w:w="2800"/>
            <w:shd w:fill="1F3864" w:color="auto" w:val="clear"/>
            <w:tcMar>
              <w:top w:type="dxa" w:w="45"/>
              <w:left w:type="dxa" w:w="80"/>
              <w:bottom w:type="dxa" w:w="45"/>
              <w:right w:type="dxa" w:w="80"/>
            </w:tcMar>
            <w:vAlign w:val="center"/>
          </w:tcPr>
          <w:p>
            <w:pPr>
              <w:spacing w:after="10" w:before="10"/>
              <w:jc w:val="left"/>
            </w:pPr>
            <w:r>
              <w:rPr>
                <w:rFonts w:ascii="Calibri" w:cs="Calibri" w:eastAsia="Calibri" w:hAnsi="Calibri"/>
                <w:b/>
                <w:bCs/>
                <w:color w:val="FFFFFF"/>
                <w:sz w:val="16"/>
                <w:szCs w:val="16"/>
              </w:rPr>
              <w:t xml:space="preserve">Clase</w:t>
            </w:r>
          </w:p>
        </w:tc>
        <w:tc>
          <w:tcPr>
            <w:tcW w:type="dxa" w:w="1400"/>
            <w:shd w:fill="1F3864" w:color="auto" w:val="clear"/>
            <w:tcMar>
              <w:top w:type="dxa" w:w="45"/>
              <w:left w:type="dxa" w:w="80"/>
              <w:bottom w:type="dxa" w:w="45"/>
              <w:right w:type="dxa" w:w="80"/>
            </w:tcMar>
            <w:vAlign w:val="center"/>
          </w:tcPr>
          <w:p>
            <w:pPr>
              <w:spacing w:after="10" w:before="10"/>
              <w:jc w:val="center"/>
            </w:pPr>
            <w:r>
              <w:rPr>
                <w:rFonts w:ascii="Calibri" w:cs="Calibri" w:eastAsia="Calibri" w:hAnsi="Calibri"/>
                <w:b/>
                <w:bCs/>
                <w:color w:val="FFFFFF"/>
                <w:sz w:val="16"/>
                <w:szCs w:val="16"/>
              </w:rPr>
              <w:t xml:space="preserve">WMC</w:t>
            </w:r>
          </w:p>
        </w:tc>
        <w:tc>
          <w:tcPr>
            <w:tcW w:type="dxa" w:w="1600"/>
            <w:shd w:fill="1F3864" w:color="auto" w:val="clear"/>
            <w:tcMar>
              <w:top w:type="dxa" w:w="45"/>
              <w:left w:type="dxa" w:w="80"/>
              <w:bottom w:type="dxa" w:w="45"/>
              <w:right w:type="dxa" w:w="80"/>
            </w:tcMar>
            <w:vAlign w:val="center"/>
          </w:tcPr>
          <w:p>
            <w:pPr>
              <w:spacing w:after="10" w:before="10"/>
              <w:jc w:val="center"/>
            </w:pPr>
            <w:r>
              <w:rPr>
                <w:rFonts w:ascii="Calibri" w:cs="Calibri" w:eastAsia="Calibri" w:hAnsi="Calibri"/>
                <w:b/>
                <w:bCs/>
                <w:color w:val="FFFFFF"/>
                <w:sz w:val="16"/>
                <w:szCs w:val="16"/>
              </w:rPr>
              <w:t xml:space="preserve">CBO</w:t>
            </w:r>
          </w:p>
        </w:tc>
        <w:tc>
          <w:tcPr>
            <w:tcW w:type="dxa" w:w="4280"/>
            <w:shd w:fill="1F3864" w:color="auto" w:val="clear"/>
            <w:tcMar>
              <w:top w:type="dxa" w:w="45"/>
              <w:left w:type="dxa" w:w="80"/>
              <w:bottom w:type="dxa" w:w="45"/>
              <w:right w:type="dxa" w:w="80"/>
            </w:tcMar>
            <w:vAlign w:val="center"/>
          </w:tcPr>
          <w:p>
            <w:pPr>
              <w:spacing w:after="10" w:before="10"/>
              <w:jc w:val="center"/>
            </w:pPr>
            <w:r>
              <w:rPr>
                <w:rFonts w:ascii="Calibri" w:cs="Calibri" w:eastAsia="Calibri" w:hAnsi="Calibri"/>
                <w:b/>
                <w:bCs/>
                <w:color w:val="FFFFFF"/>
                <w:sz w:val="16"/>
                <w:szCs w:val="16"/>
              </w:rPr>
              <w:t xml:space="preserve">Observación</w:t>
            </w:r>
          </w:p>
        </w:tc>
      </w:tr>
      <w:tr>
        <w:tc>
          <w:tcPr>
            <w:tcW w:type="dxa" w:w="2800"/>
            <w:shd w:fill="F4CCCC" w:color="auto" w:val="clear"/>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GUIPrestamo</w:t>
            </w:r>
          </w:p>
        </w:tc>
        <w:tc>
          <w:tcPr>
            <w:tcW w:type="dxa" w:w="1400"/>
            <w:shd w:fill="F4CCCC" w:color="auto" w:val="clear"/>
            <w:tcMar>
              <w:top w:type="dxa" w:w="45"/>
              <w:left w:type="dxa" w:w="80"/>
              <w:bottom w:type="dxa" w:w="45"/>
              <w:right w:type="dxa" w:w="80"/>
            </w:tcMar>
            <w:vAlign w:val="center"/>
          </w:tcPr>
          <w:p>
            <w:pPr>
              <w:spacing w:after="10" w:before="10"/>
              <w:jc w:val="center"/>
            </w:pPr>
            <w:r>
              <w:rPr>
                <w:rFonts w:ascii="Calibri" w:cs="Calibri" w:eastAsia="Calibri" w:hAnsi="Calibri"/>
                <w:b/>
                <w:bCs/>
                <w:sz w:val="16"/>
                <w:szCs w:val="16"/>
              </w:rPr>
              <w:t xml:space="preserve">53</w:t>
            </w:r>
          </w:p>
        </w:tc>
        <w:tc>
          <w:tcPr>
            <w:tcW w:type="dxa" w:w="1600"/>
            <w:shd w:fill="F4CCCC" w:color="auto" w:val="clear"/>
            <w:tcMar>
              <w:top w:type="dxa" w:w="45"/>
              <w:left w:type="dxa" w:w="80"/>
              <w:bottom w:type="dxa" w:w="45"/>
              <w:right w:type="dxa" w:w="80"/>
            </w:tcMar>
            <w:vAlign w:val="center"/>
          </w:tcPr>
          <w:p>
            <w:pPr>
              <w:spacing w:after="10" w:before="10"/>
              <w:jc w:val="center"/>
            </w:pPr>
            <w:r>
              <w:rPr>
                <w:rFonts w:ascii="Calibri" w:cs="Calibri" w:eastAsia="Calibri" w:hAnsi="Calibri"/>
                <w:b/>
                <w:bCs/>
                <w:sz w:val="16"/>
                <w:szCs w:val="16"/>
              </w:rPr>
              <w:t xml:space="preserve">17</w:t>
            </w:r>
          </w:p>
        </w:tc>
        <w:tc>
          <w:tcPr>
            <w:tcW w:type="dxa" w:w="4280"/>
            <w:shd w:fill="F4CCCC" w:color="auto" w:val="clear"/>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Única God Class detectada por PMD</w:t>
            </w:r>
          </w:p>
        </w:tc>
      </w:tr>
      <w:tr>
        <w:tc>
          <w:tcPr>
            <w:tcW w:type="dxa" w:w="2800"/>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GUIUsuario / GUILibro / GUIEmpleado</w:t>
            </w:r>
          </w:p>
        </w:tc>
        <w:tc>
          <w:tcPr>
            <w:tcW w:type="dxa" w:w="14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36 a 38</w:t>
            </w:r>
          </w:p>
        </w:tc>
        <w:tc>
          <w:tcPr>
            <w:tcW w:type="dxa" w:w="16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13 a 14</w:t>
            </w:r>
          </w:p>
        </w:tc>
        <w:tc>
          <w:tcPr>
            <w:tcW w:type="dxa" w:w="428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Formularios con validación y acceso a datos propios</w:t>
            </w:r>
          </w:p>
        </w:tc>
      </w:tr>
      <w:tr>
        <w:tc>
          <w:tcPr>
            <w:tcW w:type="dxa" w:w="2800"/>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LibroDao / UsuarioDao / EmpleadoDao</w:t>
            </w:r>
          </w:p>
        </w:tc>
        <w:tc>
          <w:tcPr>
            <w:tcW w:type="dxa" w:w="14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21 a 24</w:t>
            </w:r>
          </w:p>
        </w:tc>
        <w:tc>
          <w:tcPr>
            <w:tcW w:type="dxa" w:w="16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9</w:t>
            </w:r>
          </w:p>
        </w:tc>
        <w:tc>
          <w:tcPr>
            <w:tcW w:type="dxa" w:w="428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JDBC, entidades y utilidades de archivo</w:t>
            </w:r>
          </w:p>
        </w:tc>
      </w:tr>
      <w:tr>
        <w:tc>
          <w:tcPr>
            <w:tcW w:type="dxa" w:w="2800"/>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PrestamoDao</w:t>
            </w:r>
          </w:p>
        </w:tc>
        <w:tc>
          <w:tcPr>
            <w:tcW w:type="dxa" w:w="14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16</w:t>
            </w:r>
          </w:p>
        </w:tc>
        <w:tc>
          <w:tcPr>
            <w:tcW w:type="dxa" w:w="16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5</w:t>
            </w:r>
          </w:p>
        </w:tc>
        <w:tc>
          <w:tcPr>
            <w:tcW w:type="dxa" w:w="428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El DAO menos acoplado</w:t>
            </w:r>
          </w:p>
        </w:tc>
      </w:tr>
    </w:tbl>
    <w:p>
      <w:pPr>
        <w:spacing w:after="140"/>
      </w:pPr>
      <w:r>
        <w:rPr>
          <w:rFonts w:ascii="Calibri" w:cs="Calibri" w:eastAsia="Calibri" w:hAnsi="Calibri"/>
        </w:rPr>
        <w:t xml:space="preserve"/>
      </w:r>
    </w:p>
    <w:p>
      <w:pPr>
        <w:spacing w:after="110" w:before="0" w:line="264"/>
      </w:pPr>
      <w:r>
        <w:rPr>
          <w:rFonts w:ascii="Calibri" w:cs="Calibri" w:eastAsia="Calibri" w:hAnsi="Calibri"/>
          <w:sz w:val="21"/>
          <w:szCs w:val="21"/>
        </w:rPr>
        <w:t xml:space="preserve">PMD identificó una sola clase con indicios de God Class, GUIPrestamo, que además encabeza simultáneamente ambas métricas. Es coherente con la arquitectura observada: esa clase construye su interfaz, valida los datos, invoca al objeto de acceso a datos y presenta los resultados, concentrando responsabilidades de capas distintas. Las nueve clases con mayor complejidad y acoplamiento pertenecen todas a GUIBiblia, el mismo paquete que concentra el 76 % de las líneas y tiene la peor cobertura de ramas.</w:t>
      </w:r>
    </w:p>
    <w:p>
      <w:r>
        <w:br w:type="page"/>
      </w:r>
    </w:p>
    <w:p>
      <w:pPr>
        <w:pStyle w:val="Heading1"/>
        <w:spacing w:after="120" w:before="240"/>
      </w:pPr>
      <w:r>
        <w:rPr>
          <w:rFonts w:ascii="Calibri" w:cs="Calibri" w:eastAsia="Calibri" w:hAnsi="Calibri"/>
          <w:b/>
          <w:bCs/>
          <w:color w:val="1F3864"/>
          <w:sz w:val="28"/>
          <w:szCs w:val="28"/>
        </w:rPr>
        <w:t xml:space="preserve">8. Análisis crítico</w:t>
      </w:r>
    </w:p>
    <w:p>
      <w:pPr>
        <w:pStyle w:val="Heading2"/>
        <w:spacing w:after="120" w:before="240"/>
      </w:pPr>
      <w:r>
        <w:rPr>
          <w:rFonts w:ascii="Calibri" w:cs="Calibri" w:eastAsia="Calibri" w:hAnsi="Calibri"/>
          <w:b/>
          <w:bCs/>
          <w:color w:val="1F3864"/>
          <w:sz w:val="24"/>
          <w:szCs w:val="24"/>
        </w:rPr>
        <w:t xml:space="preserve">8.1 ¿Qué métrica describe mejor el esfuerzo de una migración a otro lenguaje?</w:t>
      </w:r>
    </w:p>
    <w:p>
      <w:pPr>
        <w:spacing w:after="110" w:before="0" w:line="264"/>
      </w:pPr>
      <w:r>
        <w:rPr>
          <w:rFonts w:ascii="Calibri" w:cs="Calibri" w:eastAsia="Calibri" w:hAnsi="Calibri"/>
          <w:sz w:val="21"/>
          <w:szCs w:val="21"/>
        </w:rPr>
        <w:t xml:space="preserve">Los puntos de función describen el esfuerzo de migración mucho mejor que las líneas de código, y el propio sistema ofrece la evidencia. Si la estimación se basara en LOC, el punto de partida serían 3 947 líneas, pero 3 005 viven en GUIBiblia y en su mayoría fueron generadas automáticamente. Al migrar a cualquier entorno con un diseñador visual equivalente, ya sea C# con Windows Forms, Python con Qt Designer o JavaFX con Scene Builder, ese código no se reescribe: se vuelve a generar arrastrando controles sobre un lienzo. Estimar la migración con el total de LOC significaría cobrar como programación lo que en realidad es diseño visual, sobreestimando el esfuerzo por un factor cercano a cuatro.</w:t>
      </w:r>
    </w:p>
    <w:p>
      <w:pPr>
        <w:spacing w:after="110" w:before="0" w:line="264"/>
      </w:pPr>
      <w:r>
        <w:rPr>
          <w:rFonts w:ascii="Calibri" w:cs="Calibri" w:eastAsia="Calibri" w:hAnsi="Calibri"/>
          <w:sz w:val="21"/>
          <w:szCs w:val="21"/>
        </w:rPr>
        <w:t xml:space="preserve">Los puntos de función miden lo que el sistema hace y no cómo está escrito: los 100 puntos sin ajustar describen catorce entradas externas, cuatro salidas, cuatro consultas y cuatro archivos lógicos internos, funcionalidad que debe existir igual en el lenguaje destino. Hay además un argumento práctico: la relación entre líneas y puntos de función varía mucho entre lenguajes, alrededor de 50 en Java, cerca de 40 en C# y unas 25 en Python, de modo que contando 100 puntos se estima directamente el tamaño esperado en el destino.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3480"/>
        <w:gridCol w:w="3400"/>
      </w:tblGrid>
      <w:tr>
        <w:trPr>
          <w:tblHeader/>
        </w:trPr>
        <w:tc>
          <w:tcPr>
            <w:tcW w:type="dxa" w:w="3200"/>
            <w:shd w:fill="1F3864" w:color="auto" w:val="clear"/>
            <w:tcMar>
              <w:top w:type="dxa" w:w="45"/>
              <w:left w:type="dxa" w:w="80"/>
              <w:bottom w:type="dxa" w:w="45"/>
              <w:right w:type="dxa" w:w="80"/>
            </w:tcMar>
            <w:vAlign w:val="center"/>
          </w:tcPr>
          <w:p>
            <w:pPr>
              <w:spacing w:after="10" w:before="10"/>
              <w:jc w:val="left"/>
            </w:pPr>
            <w:r>
              <w:rPr>
                <w:rFonts w:ascii="Calibri" w:cs="Calibri" w:eastAsia="Calibri" w:hAnsi="Calibri"/>
                <w:b/>
                <w:bCs/>
                <w:color w:val="FFFFFF"/>
                <w:sz w:val="16"/>
                <w:szCs w:val="16"/>
              </w:rPr>
              <w:t xml:space="preserve">Criterio</w:t>
            </w:r>
          </w:p>
        </w:tc>
        <w:tc>
          <w:tcPr>
            <w:tcW w:type="dxa" w:w="3480"/>
            <w:shd w:fill="1F3864" w:color="auto" w:val="clear"/>
            <w:tcMar>
              <w:top w:type="dxa" w:w="45"/>
              <w:left w:type="dxa" w:w="80"/>
              <w:bottom w:type="dxa" w:w="45"/>
              <w:right w:type="dxa" w:w="80"/>
            </w:tcMar>
            <w:vAlign w:val="center"/>
          </w:tcPr>
          <w:p>
            <w:pPr>
              <w:spacing w:after="10" w:before="10"/>
              <w:jc w:val="center"/>
            </w:pPr>
            <w:r>
              <w:rPr>
                <w:rFonts w:ascii="Calibri" w:cs="Calibri" w:eastAsia="Calibri" w:hAnsi="Calibri"/>
                <w:b/>
                <w:bCs/>
                <w:color w:val="FFFFFF"/>
                <w:sz w:val="16"/>
                <w:szCs w:val="16"/>
              </w:rPr>
              <w:t xml:space="preserve">LOC (3 947 líneas)</w:t>
            </w:r>
          </w:p>
        </w:tc>
        <w:tc>
          <w:tcPr>
            <w:tcW w:type="dxa" w:w="3400"/>
            <w:shd w:fill="1F3864" w:color="auto" w:val="clear"/>
            <w:tcMar>
              <w:top w:type="dxa" w:w="45"/>
              <w:left w:type="dxa" w:w="80"/>
              <w:bottom w:type="dxa" w:w="45"/>
              <w:right w:type="dxa" w:w="80"/>
            </w:tcMar>
            <w:vAlign w:val="center"/>
          </w:tcPr>
          <w:p>
            <w:pPr>
              <w:spacing w:after="10" w:before="10"/>
              <w:jc w:val="center"/>
            </w:pPr>
            <w:r>
              <w:rPr>
                <w:rFonts w:ascii="Calibri" w:cs="Calibri" w:eastAsia="Calibri" w:hAnsi="Calibri"/>
                <w:b/>
                <w:bCs/>
                <w:color w:val="FFFFFF"/>
                <w:sz w:val="16"/>
                <w:szCs w:val="16"/>
              </w:rPr>
              <w:t xml:space="preserve">Puntos de función (100 PFSA)</w:t>
            </w:r>
          </w:p>
        </w:tc>
      </w:tr>
      <w:tr>
        <w:tc>
          <w:tcPr>
            <w:tcW w:type="dxa" w:w="3200"/>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Independencia del lenguaje</w:t>
            </w:r>
          </w:p>
        </w:tc>
        <w:tc>
          <w:tcPr>
            <w:tcW w:type="dxa" w:w="3480"/>
            <w:shd w:fill="F4CCCC" w:color="auto" w:val="clear"/>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No</w:t>
            </w:r>
          </w:p>
        </w:tc>
        <w:tc>
          <w:tcPr>
            <w:tcW w:type="dxa" w:w="3400"/>
            <w:shd w:fill="D9EAD3" w:color="auto" w:val="clear"/>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Sí</w:t>
            </w:r>
          </w:p>
        </w:tc>
      </w:tr>
      <w:tr>
        <w:tc>
          <w:tcPr>
            <w:tcW w:type="dxa" w:w="3200"/>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Sensible al código autogenerado</w:t>
            </w:r>
          </w:p>
        </w:tc>
        <w:tc>
          <w:tcPr>
            <w:tcW w:type="dxa" w:w="3480"/>
            <w:shd w:fill="F4CCCC" w:color="auto" w:val="clear"/>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Sí, lo cuenta todo</w:t>
            </w:r>
          </w:p>
        </w:tc>
        <w:tc>
          <w:tcPr>
            <w:tcW w:type="dxa" w:w="3400"/>
            <w:shd w:fill="D9EAD3" w:color="auto" w:val="clear"/>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No, cuenta procesos</w:t>
            </w:r>
          </w:p>
        </w:tc>
      </w:tr>
      <w:tr>
        <w:tc>
          <w:tcPr>
            <w:tcW w:type="dxa" w:w="3200"/>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Medible antes de escribir código</w:t>
            </w:r>
          </w:p>
        </w:tc>
        <w:tc>
          <w:tcPr>
            <w:tcW w:type="dxa" w:w="3480"/>
            <w:shd w:fill="F4CCCC" w:color="auto" w:val="clear"/>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No</w:t>
            </w:r>
          </w:p>
        </w:tc>
        <w:tc>
          <w:tcPr>
            <w:tcW w:type="dxa" w:w="3400"/>
            <w:shd w:fill="D9EAD3" w:color="auto" w:val="clear"/>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Sí</w:t>
            </w:r>
          </w:p>
        </w:tc>
      </w:tr>
      <w:tr>
        <w:tc>
          <w:tcPr>
            <w:tcW w:type="dxa" w:w="3200"/>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Convertible al lenguaje destino</w:t>
            </w:r>
          </w:p>
        </w:tc>
        <w:tc>
          <w:tcPr>
            <w:tcW w:type="dxa" w:w="3480"/>
            <w:shd w:fill="F4CCCC" w:color="auto" w:val="clear"/>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Requiere recontar</w:t>
            </w:r>
          </w:p>
        </w:tc>
        <w:tc>
          <w:tcPr>
            <w:tcW w:type="dxa" w:w="3400"/>
            <w:shd w:fill="D9EAD3" w:color="auto" w:val="clear"/>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Directa</w:t>
            </w:r>
          </w:p>
        </w:tc>
      </w:tr>
      <w:tr>
        <w:tc>
          <w:tcPr>
            <w:tcW w:type="dxa" w:w="3200"/>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Costo de obtención</w:t>
            </w:r>
          </w:p>
        </w:tc>
        <w:tc>
          <w:tcPr>
            <w:tcW w:type="dxa" w:w="3480"/>
            <w:shd w:fill="D9EAD3" w:color="auto" w:val="clear"/>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Bajo, automatizable</w:t>
            </w:r>
          </w:p>
        </w:tc>
        <w:tc>
          <w:tcPr>
            <w:tcW w:type="dxa" w:w="3400"/>
            <w:shd w:fill="FFF2CC" w:color="auto" w:val="clear"/>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Alto, análisis manual</w:t>
            </w:r>
          </w:p>
        </w:tc>
      </w:tr>
    </w:tbl>
    <w:p>
      <w:pPr>
        <w:spacing w:after="140"/>
      </w:pPr>
      <w:r>
        <w:rPr>
          <w:rFonts w:ascii="Calibri" w:cs="Calibri" w:eastAsia="Calibri" w:hAnsi="Calibri"/>
        </w:rPr>
        <w:t xml:space="preserve"/>
      </w:r>
    </w:p>
    <w:p>
      <w:pPr>
        <w:spacing w:after="110" w:before="0" w:line="264"/>
      </w:pPr>
      <w:r>
        <w:rPr>
          <w:rFonts w:ascii="Calibri" w:cs="Calibri" w:eastAsia="Calibri" w:hAnsi="Calibri"/>
          <w:sz w:val="21"/>
          <w:szCs w:val="21"/>
        </w:rPr>
        <w:t xml:space="preserve">La conclusión no es que las líneas de código carezcan de valor: son baratas de obtener y excelentes para vigilar el crecimiento del código o localizar dónde se concentra su masa, que es el uso que se les dio en este reporte. Lo que no deben hacer es fundamentar una estimación de esfuerzo entre tecnologías distintas.</w:t>
      </w:r>
    </w:p>
    <w:p>
      <w:pPr>
        <w:pStyle w:val="Heading2"/>
        <w:spacing w:after="120" w:before="240"/>
      </w:pPr>
      <w:r>
        <w:rPr>
          <w:rFonts w:ascii="Calibri" w:cs="Calibri" w:eastAsia="Calibri" w:hAnsi="Calibri"/>
          <w:b/>
          <w:bCs/>
          <w:color w:val="1F3864"/>
          <w:sz w:val="24"/>
          <w:szCs w:val="24"/>
        </w:rPr>
        <w:t xml:space="preserve">8.2 Productividad simulada: ¿cuántas semanas tomaría expandir el sistema?</w:t>
      </w:r>
    </w:p>
    <w:p>
      <w:pPr>
        <w:spacing w:after="110" w:before="0" w:line="264"/>
      </w:pPr>
      <w:r>
        <w:rPr>
          <w:rFonts w:ascii="Calibri" w:cs="Calibri" w:eastAsia="Calibri" w:hAnsi="Calibri"/>
          <w:sz w:val="21"/>
          <w:szCs w:val="21"/>
        </w:rPr>
        <w:t xml:space="preserve">Para que la estimación sea verificable se define un escenario concreto: incorporar un módulo de multas por retraso, integrado por un archivo lógico interno nuevo, tres entradas externas, una salida y una consulta, que suman 25 puntos de función sin ajustar y 21.5 ajustados, es decir, una expansión del 25 % sobre el tamaño funcional existente.</w:t>
      </w:r>
    </w:p>
    <w:p>
      <w:pPr>
        <w:spacing w:after="110" w:before="0" w:line="264"/>
      </w:pPr>
      <w:r>
        <w:rPr>
          <w:rFonts w:ascii="Calibri" w:cs="Calibri" w:eastAsia="Calibri" w:hAnsi="Calibri"/>
          <w:sz w:val="21"/>
          <w:szCs w:val="21"/>
        </w:rPr>
        <w:t xml:space="preserve">Con una productividad de referencia de 10 puntos de función por persona-mes, propia de equipos pequeños en aplicaciones de escritorio Java, el esfuerzo asciende a 2.15 persona-mes, unas 4.6 semanas con dos integrantes a tiempo completo. La estimación alternativa por líneas de código, usando la relación observada de 39.5 líneas por punto y una productividad de 12 líneas por hora, arroja unas 82 horas, cerca de 2 semanas. Las dos cifras difieren por un factor cercano a dos, y esa diferencia es informativa: la estimación por líneas solo contabiliza el tiempo de escribir código, mientras que la productividad por puntos de función incorpora el análisis, el diseño, las pruebas, la corrección de defectos y la documentación, que en un proyecto real representan entre la mitad y dos tercios del esfuerzo. Se adopta la primera como cifra de planeación y la segunda como cota inferior optimista.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200"/>
        <w:gridCol w:w="2900"/>
        <w:gridCol w:w="2980"/>
      </w:tblGrid>
      <w:tr>
        <w:trPr>
          <w:tblHeader/>
        </w:trPr>
        <w:tc>
          <w:tcPr>
            <w:tcW w:type="dxa" w:w="4200"/>
            <w:shd w:fill="1F3864" w:color="auto" w:val="clear"/>
            <w:tcMar>
              <w:top w:type="dxa" w:w="45"/>
              <w:left w:type="dxa" w:w="80"/>
              <w:bottom w:type="dxa" w:w="45"/>
              <w:right w:type="dxa" w:w="80"/>
            </w:tcMar>
            <w:vAlign w:val="center"/>
          </w:tcPr>
          <w:p>
            <w:pPr>
              <w:spacing w:after="10" w:before="10"/>
              <w:jc w:val="left"/>
            </w:pPr>
            <w:r>
              <w:rPr>
                <w:rFonts w:ascii="Calibri" w:cs="Calibri" w:eastAsia="Calibri" w:hAnsi="Calibri"/>
                <w:b/>
                <w:bCs/>
                <w:color w:val="FFFFFF"/>
                <w:sz w:val="16"/>
                <w:szCs w:val="16"/>
              </w:rPr>
              <w:t xml:space="preserve">Escenario de dedicación</w:t>
            </w:r>
          </w:p>
        </w:tc>
        <w:tc>
          <w:tcPr>
            <w:tcW w:type="dxa" w:w="2900"/>
            <w:shd w:fill="1F3864" w:color="auto" w:val="clear"/>
            <w:tcMar>
              <w:top w:type="dxa" w:w="45"/>
              <w:left w:type="dxa" w:w="80"/>
              <w:bottom w:type="dxa" w:w="45"/>
              <w:right w:type="dxa" w:w="80"/>
            </w:tcMar>
            <w:vAlign w:val="center"/>
          </w:tcPr>
          <w:p>
            <w:pPr>
              <w:spacing w:after="10" w:before="10"/>
              <w:jc w:val="center"/>
            </w:pPr>
            <w:r>
              <w:rPr>
                <w:rFonts w:ascii="Calibri" w:cs="Calibri" w:eastAsia="Calibri" w:hAnsi="Calibri"/>
                <w:b/>
                <w:bCs/>
                <w:color w:val="FFFFFF"/>
                <w:sz w:val="16"/>
                <w:szCs w:val="16"/>
              </w:rPr>
              <w:t xml:space="preserve">Horas por semana</w:t>
            </w:r>
          </w:p>
        </w:tc>
        <w:tc>
          <w:tcPr>
            <w:tcW w:type="dxa" w:w="2980"/>
            <w:shd w:fill="1F3864" w:color="auto" w:val="clear"/>
            <w:tcMar>
              <w:top w:type="dxa" w:w="45"/>
              <w:left w:type="dxa" w:w="80"/>
              <w:bottom w:type="dxa" w:w="45"/>
              <w:right w:type="dxa" w:w="80"/>
            </w:tcMar>
            <w:vAlign w:val="center"/>
          </w:tcPr>
          <w:p>
            <w:pPr>
              <w:spacing w:after="10" w:before="10"/>
              <w:jc w:val="center"/>
            </w:pPr>
            <w:r>
              <w:rPr>
                <w:rFonts w:ascii="Calibri" w:cs="Calibri" w:eastAsia="Calibri" w:hAnsi="Calibri"/>
                <w:b/>
                <w:bCs/>
                <w:color w:val="FFFFFF"/>
                <w:sz w:val="16"/>
                <w:szCs w:val="16"/>
              </w:rPr>
              <w:t xml:space="preserve">Duración estimada</w:t>
            </w:r>
          </w:p>
        </w:tc>
      </w:tr>
      <w:tr>
        <w:tc>
          <w:tcPr>
            <w:tcW w:type="dxa" w:w="4200"/>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Equipo de dos, tiempo completo</w:t>
            </w:r>
          </w:p>
        </w:tc>
        <w:tc>
          <w:tcPr>
            <w:tcW w:type="dxa" w:w="29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80 h (40 c/u)</w:t>
            </w:r>
          </w:p>
        </w:tc>
        <w:tc>
          <w:tcPr>
            <w:tcW w:type="dxa" w:w="2980"/>
            <w:shd w:fill="D9EAD3" w:color="auto" w:val="clear"/>
            <w:tcMar>
              <w:top w:type="dxa" w:w="45"/>
              <w:left w:type="dxa" w:w="80"/>
              <w:bottom w:type="dxa" w:w="45"/>
              <w:right w:type="dxa" w:w="80"/>
            </w:tcMar>
            <w:vAlign w:val="center"/>
          </w:tcPr>
          <w:p>
            <w:pPr>
              <w:spacing w:after="10" w:before="10"/>
              <w:jc w:val="center"/>
            </w:pPr>
            <w:r>
              <w:rPr>
                <w:rFonts w:ascii="Calibri" w:cs="Calibri" w:eastAsia="Calibri" w:hAnsi="Calibri"/>
                <w:b/>
                <w:bCs/>
                <w:sz w:val="16"/>
                <w:szCs w:val="16"/>
              </w:rPr>
              <w:t xml:space="preserve">4 a 5 semanas</w:t>
            </w:r>
          </w:p>
        </w:tc>
      </w:tr>
      <w:tr>
        <w:tc>
          <w:tcPr>
            <w:tcW w:type="dxa" w:w="4200"/>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Equipo de dos, medio tiempo</w:t>
            </w:r>
          </w:p>
        </w:tc>
        <w:tc>
          <w:tcPr>
            <w:tcW w:type="dxa" w:w="29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40 h (20 c/u)</w:t>
            </w:r>
          </w:p>
        </w:tc>
        <w:tc>
          <w:tcPr>
            <w:tcW w:type="dxa" w:w="2980"/>
            <w:shd w:fill="FFF2CC" w:color="auto" w:val="clear"/>
            <w:tcMar>
              <w:top w:type="dxa" w:w="45"/>
              <w:left w:type="dxa" w:w="80"/>
              <w:bottom w:type="dxa" w:w="45"/>
              <w:right w:type="dxa" w:w="80"/>
            </w:tcMar>
            <w:vAlign w:val="center"/>
          </w:tcPr>
          <w:p>
            <w:pPr>
              <w:spacing w:after="10" w:before="10"/>
              <w:jc w:val="center"/>
            </w:pPr>
            <w:r>
              <w:rPr>
                <w:rFonts w:ascii="Calibri" w:cs="Calibri" w:eastAsia="Calibri" w:hAnsi="Calibri"/>
                <w:b/>
                <w:bCs/>
                <w:sz w:val="16"/>
                <w:szCs w:val="16"/>
              </w:rPr>
              <w:t xml:space="preserve">9 a 10 semanas</w:t>
            </w:r>
          </w:p>
        </w:tc>
      </w:tr>
      <w:tr>
        <w:tc>
          <w:tcPr>
            <w:tcW w:type="dxa" w:w="4200"/>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Equipo de dos, ritmo escolar</w:t>
            </w:r>
          </w:p>
        </w:tc>
        <w:tc>
          <w:tcPr>
            <w:tcW w:type="dxa" w:w="29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20 h (10 c/u)</w:t>
            </w:r>
          </w:p>
        </w:tc>
        <w:tc>
          <w:tcPr>
            <w:tcW w:type="dxa" w:w="2980"/>
            <w:shd w:fill="F4CCCC" w:color="auto" w:val="clear"/>
            <w:tcMar>
              <w:top w:type="dxa" w:w="45"/>
              <w:left w:type="dxa" w:w="80"/>
              <w:bottom w:type="dxa" w:w="45"/>
              <w:right w:type="dxa" w:w="80"/>
            </w:tcMar>
            <w:vAlign w:val="center"/>
          </w:tcPr>
          <w:p>
            <w:pPr>
              <w:spacing w:after="10" w:before="10"/>
              <w:jc w:val="center"/>
            </w:pPr>
            <w:r>
              <w:rPr>
                <w:rFonts w:ascii="Calibri" w:cs="Calibri" w:eastAsia="Calibri" w:hAnsi="Calibri"/>
                <w:b/>
                <w:bCs/>
                <w:sz w:val="16"/>
                <w:szCs w:val="16"/>
              </w:rPr>
              <w:t xml:space="preserve">18 a 20 semanas</w:t>
            </w:r>
          </w:p>
        </w:tc>
      </w:tr>
    </w:tbl>
    <w:p>
      <w:pPr>
        <w:spacing w:after="140"/>
      </w:pPr>
      <w:r>
        <w:rPr>
          <w:rFonts w:ascii="Calibri" w:cs="Calibri" w:eastAsia="Calibri" w:hAnsi="Calibri"/>
        </w:rPr>
        <w:t xml:space="preserve"/>
      </w:r>
    </w:p>
    <w:p>
      <w:pPr>
        <w:spacing w:after="110" w:before="0" w:line="264"/>
      </w:pPr>
      <w:r>
        <w:rPr>
          <w:rFonts w:ascii="Calibri" w:cs="Calibri" w:eastAsia="Calibri" w:hAnsi="Calibri"/>
          <w:sz w:val="21"/>
          <w:szCs w:val="21"/>
        </w:rPr>
        <w:t xml:space="preserve">El último renglón corresponde a las condiciones reales de un equipo escolar y explica por qué una expansión aparentemente modesta ocupa prácticamente un semestre. Es también el motivo por el que la deuda técnica documentada encarece cualquier ampliación: al no existir una capa de validación separada, cada nueva regla de negocio debe programarse otra vez dentro del formulario correspondiente.</w:t>
      </w:r>
    </w:p>
    <w:p>
      <w:r>
        <w:br w:type="page"/>
      </w:r>
    </w:p>
    <w:p>
      <w:pPr>
        <w:pStyle w:val="Heading1"/>
        <w:spacing w:after="120" w:before="240"/>
      </w:pPr>
      <w:r>
        <w:rPr>
          <w:rFonts w:ascii="Calibri" w:cs="Calibri" w:eastAsia="Calibri" w:hAnsi="Calibri"/>
          <w:b/>
          <w:bCs/>
          <w:color w:val="1F3864"/>
          <w:sz w:val="28"/>
          <w:szCs w:val="28"/>
        </w:rPr>
        <w:t xml:space="preserve">9. Conclusiones y recomendaciones</w:t>
      </w:r>
    </w:p>
    <w:p>
      <w:pPr>
        <w:spacing w:after="110" w:before="0" w:line="264"/>
      </w:pPr>
      <w:r>
        <w:rPr>
          <w:rFonts w:ascii="Calibri" w:cs="Calibri" w:eastAsia="Calibri" w:hAnsi="Calibri"/>
          <w:sz w:val="21"/>
          <w:szCs w:val="21"/>
        </w:rPr>
        <w:t xml:space="preserve">El sistema mide 100 puntos de función sin ajustar, equivalentes a 86 ajustados, distribuidos en 3 947 líneas efectivas con una densidad de comentarios del 9.55 %, y sus 70 pruebas cubren el 65 % de las líneas pero solamente el 24 % de las ramas de decisión.</w:t>
      </w:r>
    </w:p>
    <w:p>
      <w:pPr>
        <w:spacing w:after="110" w:before="0" w:line="264"/>
      </w:pPr>
      <w:r>
        <w:rPr>
          <w:rFonts w:ascii="Calibri" w:cs="Calibri" w:eastAsia="Calibri" w:hAnsi="Calibri"/>
          <w:sz w:val="21"/>
          <w:szCs w:val="21"/>
        </w:rPr>
        <w:t xml:space="preserve">Las mediciones convergen en un mismo diagnóstico, lo que refuerza su credibilidad al haberse obtenido con herramientas independientes entre sí. El tamaño está dominado por código que nadie escribió: el 76 % de las líneas son autogeneradas. La complejidad y el acoplamiento se concentran en la capa gráfica, con GUIPrestamo señalada por PMD como la única God Class. La cobertura de ramas se desploma exactamente en ese mismo lugar, con 14 % en GUIBiblia, porque las reglas de negocio están dentro de métodos privados acoplados a componentes Swing. Y la funcionalidad real resulta modesta frente al volumen de código que la envuelve.</w:t>
      </w:r>
    </w:p>
    <w:p>
      <w:pPr>
        <w:spacing w:after="110" w:before="0" w:line="264"/>
      </w:pPr>
      <w:r>
        <w:rPr>
          <w:rFonts w:ascii="Calibri" w:cs="Calibri" w:eastAsia="Calibri" w:hAnsi="Calibri"/>
          <w:sz w:val="21"/>
          <w:szCs w:val="21"/>
        </w:rPr>
        <w:t xml:space="preserve">La inspección detectó diez defectos reales, cuatro de severidad alta. El patrón que los une no es la casualidad sino una confusión conceptual repetida: tres validaciones miden la longitud de una cadena en lugar de su valor numérico, de modo que el sistema acepta exactamente los datos que sus mensajes de error dicen rechazar. La captura del libro publicado en 2077 documenta ese comportamiento en ejecución.</w:t>
      </w:r>
    </w:p>
    <w:p>
      <w:pPr>
        <w:spacing w:after="110" w:before="0" w:line="264"/>
      </w:pPr>
      <w:r>
        <w:rPr>
          <w:rFonts w:ascii="Calibri" w:cs="Calibri" w:eastAsia="Calibri" w:hAnsi="Calibri"/>
          <w:sz w:val="21"/>
          <w:szCs w:val="21"/>
        </w:rPr>
        <w:t xml:space="preserve">En contraposición, el único componente diseñado durante este proyecto con la testabilidad como criterio explícito, la clase AltaLibroConsola, alcanza el 88 % de cobertura de instrucciones y el 65 % de ramas siendo el paquete más pequeño del sistema. La diferencia no radica en el esfuerzo de pruebas invertido sino en una decisión de diseño: separar el método main de un método que recibe sus dependencias por parámetro. Es la lección principal del proyecto y la que fundamenta el diagrama UML mejorado.</w:t>
      </w:r>
    </w:p>
    <w:p>
      <w:pPr>
        <w:spacing w:after="120"/>
      </w:pPr>
      <w:r>
        <w:rPr>
          <w:rFonts w:ascii="Calibri" w:cs="Calibri" w:eastAsia="Calibri" w:hAnsi="Calibri"/>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200"/>
        <w:gridCol w:w="4600"/>
        <w:gridCol w:w="2200"/>
        <w:gridCol w:w="2080"/>
      </w:tblGrid>
      <w:tr>
        <w:trPr>
          <w:tblHeader/>
        </w:trPr>
        <w:tc>
          <w:tcPr>
            <w:tcW w:type="dxa" w:w="1200"/>
            <w:shd w:fill="1F3864" w:color="auto" w:val="clear"/>
            <w:tcMar>
              <w:top w:type="dxa" w:w="45"/>
              <w:left w:type="dxa" w:w="80"/>
              <w:bottom w:type="dxa" w:w="45"/>
              <w:right w:type="dxa" w:w="80"/>
            </w:tcMar>
            <w:vAlign w:val="center"/>
          </w:tcPr>
          <w:p>
            <w:pPr>
              <w:spacing w:after="10" w:before="10"/>
              <w:jc w:val="left"/>
            </w:pPr>
            <w:r>
              <w:rPr>
                <w:rFonts w:ascii="Calibri" w:cs="Calibri" w:eastAsia="Calibri" w:hAnsi="Calibri"/>
                <w:b/>
                <w:bCs/>
                <w:color w:val="FFFFFF"/>
                <w:sz w:val="16"/>
                <w:szCs w:val="16"/>
              </w:rPr>
              <w:t xml:space="preserve">Prioridad</w:t>
            </w:r>
          </w:p>
        </w:tc>
        <w:tc>
          <w:tcPr>
            <w:tcW w:type="dxa" w:w="4600"/>
            <w:shd w:fill="1F3864" w:color="auto" w:val="clear"/>
            <w:tcMar>
              <w:top w:type="dxa" w:w="45"/>
              <w:left w:type="dxa" w:w="80"/>
              <w:bottom w:type="dxa" w:w="45"/>
              <w:right w:type="dxa" w:w="80"/>
            </w:tcMar>
            <w:vAlign w:val="center"/>
          </w:tcPr>
          <w:p>
            <w:pPr>
              <w:spacing w:after="10" w:before="10"/>
              <w:jc w:val="center"/>
            </w:pPr>
            <w:r>
              <w:rPr>
                <w:rFonts w:ascii="Calibri" w:cs="Calibri" w:eastAsia="Calibri" w:hAnsi="Calibri"/>
                <w:b/>
                <w:bCs/>
                <w:color w:val="FFFFFF"/>
                <w:sz w:val="16"/>
                <w:szCs w:val="16"/>
              </w:rPr>
              <w:t xml:space="preserve">Recomendación</w:t>
            </w:r>
          </w:p>
        </w:tc>
        <w:tc>
          <w:tcPr>
            <w:tcW w:type="dxa" w:w="2200"/>
            <w:shd w:fill="1F3864" w:color="auto" w:val="clear"/>
            <w:tcMar>
              <w:top w:type="dxa" w:w="45"/>
              <w:left w:type="dxa" w:w="80"/>
              <w:bottom w:type="dxa" w:w="45"/>
              <w:right w:type="dxa" w:w="80"/>
            </w:tcMar>
            <w:vAlign w:val="center"/>
          </w:tcPr>
          <w:p>
            <w:pPr>
              <w:spacing w:after="10" w:before="10"/>
              <w:jc w:val="center"/>
            </w:pPr>
            <w:r>
              <w:rPr>
                <w:rFonts w:ascii="Calibri" w:cs="Calibri" w:eastAsia="Calibri" w:hAnsi="Calibri"/>
                <w:b/>
                <w:bCs/>
                <w:color w:val="FFFFFF"/>
                <w:sz w:val="16"/>
                <w:szCs w:val="16"/>
              </w:rPr>
              <w:t xml:space="preserve">Métrica que la sustenta</w:t>
            </w:r>
          </w:p>
        </w:tc>
        <w:tc>
          <w:tcPr>
            <w:tcW w:type="dxa" w:w="2080"/>
            <w:shd w:fill="1F3864" w:color="auto" w:val="clear"/>
            <w:tcMar>
              <w:top w:type="dxa" w:w="45"/>
              <w:left w:type="dxa" w:w="80"/>
              <w:bottom w:type="dxa" w:w="45"/>
              <w:right w:type="dxa" w:w="80"/>
            </w:tcMar>
            <w:vAlign w:val="center"/>
          </w:tcPr>
          <w:p>
            <w:pPr>
              <w:spacing w:after="10" w:before="10"/>
              <w:jc w:val="center"/>
            </w:pPr>
            <w:r>
              <w:rPr>
                <w:rFonts w:ascii="Calibri" w:cs="Calibri" w:eastAsia="Calibri" w:hAnsi="Calibri"/>
                <w:b/>
                <w:bCs/>
                <w:color w:val="FFFFFF"/>
                <w:sz w:val="16"/>
                <w:szCs w:val="16"/>
              </w:rPr>
              <w:t xml:space="preserve">Impacto esperado</w:t>
            </w:r>
          </w:p>
        </w:tc>
      </w:tr>
      <w:tr>
        <w:tc>
          <w:tcPr>
            <w:tcW w:type="dxa" w:w="1200"/>
            <w:shd w:fill="F4CCCC" w:color="auto" w:val="clear"/>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Alta</w:t>
            </w:r>
          </w:p>
        </w:tc>
        <w:tc>
          <w:tcPr>
            <w:tcW w:type="dxa" w:w="46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Extraer las validaciones de GUILibro a una clase ValidadorLibro independiente de Swing</w:t>
            </w:r>
          </w:p>
        </w:tc>
        <w:tc>
          <w:tcPr>
            <w:tcW w:type="dxa" w:w="22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Ramas 14 % en GUIBiblia</w:t>
            </w:r>
          </w:p>
        </w:tc>
        <w:tc>
          <w:tcPr>
            <w:tcW w:type="dxa" w:w="208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Habilita 12 casos de prueba hoy bloqueados</w:t>
            </w:r>
          </w:p>
        </w:tc>
      </w:tr>
      <w:tr>
        <w:tc>
          <w:tcPr>
            <w:tcW w:type="dxa" w:w="1200"/>
            <w:shd w:fill="F4CCCC" w:color="auto" w:val="clear"/>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Alta</w:t>
            </w:r>
          </w:p>
        </w:tc>
        <w:tc>
          <w:tcPr>
            <w:tcW w:type="dxa" w:w="46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Corregir las tres validaciones que miden longitud de texto en lugar de valor numérico</w:t>
            </w:r>
          </w:p>
        </w:tc>
        <w:tc>
          <w:tcPr>
            <w:tcW w:type="dxa" w:w="22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Defectos D-06, D-07 y D-08</w:t>
            </w:r>
          </w:p>
        </w:tc>
        <w:tc>
          <w:tcPr>
            <w:tcW w:type="dxa" w:w="208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Elimina la aceptación de datos inválidos</w:t>
            </w:r>
          </w:p>
        </w:tc>
      </w:tr>
      <w:tr>
        <w:tc>
          <w:tcPr>
            <w:tcW w:type="dxa" w:w="1200"/>
            <w:shd w:fill="FFF2CC" w:color="auto" w:val="clear"/>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Media</w:t>
            </w:r>
          </w:p>
        </w:tc>
        <w:tc>
          <w:tcPr>
            <w:tcW w:type="dxa" w:w="46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Agregar pruebas a EmpleadoDao y PrestamoDao con una base de datos de prueba</w:t>
            </w:r>
          </w:p>
        </w:tc>
        <w:tc>
          <w:tcPr>
            <w:tcW w:type="dxa" w:w="22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Cobertura de 17 % y 27 %</w:t>
            </w:r>
          </w:p>
        </w:tc>
        <w:tc>
          <w:tcPr>
            <w:tcW w:type="dxa" w:w="208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Cubre las transacciones con rollback</w:t>
            </w:r>
          </w:p>
        </w:tc>
      </w:tr>
      <w:tr>
        <w:tc>
          <w:tcPr>
            <w:tcW w:type="dxa" w:w="1200"/>
            <w:shd w:fill="FFF2CC" w:color="auto" w:val="clear"/>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Media</w:t>
            </w:r>
          </w:p>
        </w:tc>
        <w:tc>
          <w:tcPr>
            <w:tcW w:type="dxa" w:w="46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Dividir GUIPrestamo separando presentación de lógica de préstamo</w:t>
            </w:r>
          </w:p>
        </w:tc>
        <w:tc>
          <w:tcPr>
            <w:tcW w:type="dxa" w:w="22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WMC 53, CBO 17, God Class</w:t>
            </w:r>
          </w:p>
        </w:tc>
        <w:tc>
          <w:tcPr>
            <w:tcW w:type="dxa" w:w="208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Reduce la clase más riesgosa</w:t>
            </w:r>
          </w:p>
        </w:tc>
      </w:tr>
      <w:tr>
        <w:tc>
          <w:tcPr>
            <w:tcW w:type="dxa" w:w="1200"/>
            <w:shd w:fill="D9EAD3" w:color="auto" w:val="clear"/>
            <w:tcMar>
              <w:top w:type="dxa" w:w="45"/>
              <w:left w:type="dxa" w:w="80"/>
              <w:bottom w:type="dxa" w:w="45"/>
              <w:right w:type="dxa" w:w="80"/>
            </w:tcMar>
            <w:vAlign w:val="center"/>
          </w:tcPr>
          <w:p>
            <w:pPr>
              <w:spacing w:after="10" w:before="10"/>
              <w:jc w:val="left"/>
            </w:pPr>
            <w:r>
              <w:rPr>
                <w:rFonts w:ascii="Calibri" w:cs="Calibri" w:eastAsia="Calibri" w:hAnsi="Calibri"/>
                <w:sz w:val="16"/>
                <w:szCs w:val="16"/>
              </w:rPr>
              <w:t xml:space="preserve">Baja</w:t>
            </w:r>
          </w:p>
        </w:tc>
        <w:tc>
          <w:tcPr>
            <w:tcW w:type="dxa" w:w="46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Documentar el SQL y el manejo de transacciones de DAOBiblia</w:t>
            </w:r>
          </w:p>
        </w:tc>
        <w:tc>
          <w:tcPr>
            <w:tcW w:type="dxa" w:w="220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Densidad de 5.78 %</w:t>
            </w:r>
          </w:p>
        </w:tc>
        <w:tc>
          <w:tcPr>
            <w:tcW w:type="dxa" w:w="2080"/>
            <w:tcMar>
              <w:top w:type="dxa" w:w="45"/>
              <w:left w:type="dxa" w:w="80"/>
              <w:bottom w:type="dxa" w:w="45"/>
              <w:right w:type="dxa" w:w="80"/>
            </w:tcMar>
            <w:vAlign w:val="center"/>
          </w:tcPr>
          <w:p>
            <w:pPr>
              <w:spacing w:after="10" w:before="10"/>
              <w:jc w:val="center"/>
            </w:pPr>
            <w:r>
              <w:rPr>
                <w:rFonts w:ascii="Calibri" w:cs="Calibri" w:eastAsia="Calibri" w:hAnsi="Calibri"/>
                <w:sz w:val="16"/>
                <w:szCs w:val="16"/>
              </w:rPr>
              <w:t xml:space="preserve">Mejora la mantenibilidad</w:t>
            </w:r>
          </w:p>
        </w:tc>
      </w:tr>
    </w:tbl>
    <w:p>
      <w:pPr>
        <w:spacing w:after="160"/>
      </w:pPr>
      <w:r>
        <w:rPr>
          <w:rFonts w:ascii="Calibri" w:cs="Calibri" w:eastAsia="Calibri" w:hAnsi="Calibri"/>
        </w:rPr>
        <w:t xml:space="preserve"/>
      </w:r>
    </w:p>
    <w:p>
      <w:pPr>
        <w:spacing w:after="110" w:before="0" w:line="264"/>
      </w:pPr>
      <w:r>
        <w:rPr>
          <w:rFonts w:ascii="Calibri" w:cs="Calibri" w:eastAsia="Calibri" w:hAnsi="Calibri"/>
          <w:i/>
          <w:iCs/>
          <w:sz w:val="21"/>
          <w:szCs w:val="21"/>
        </w:rPr>
        <w:t xml:space="preserve">Aplicadas en ese orden, las dos primeras recomendaciones por sí solas elevarían la cobertura de ramas del sistema y eliminarían los cuatro defectos de severidad alta relacionados con la validación, que es donde se concentra el riesgo real del sistema auditado.</w:t>
      </w:r>
    </w:p>
    <w:sectPr>
      <w:footerReference w:type="default" r:id="rId9"/>
      <w:pgSz w:w="12240" w:h="15840"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5"/>
        <w:szCs w:val="15"/>
      </w:rPr>
      <w:t xml:space="preserve">Reporte técnico de calidad · BibliotecaIngeSoftware · Página </w:t>
    </w:r>
    <w:r>
      <w:rPr>
        <w:rFonts w:ascii="Calibri" w:cs="Calibri" w:eastAsia="Calibri" w:hAnsi="Calibri"/>
        <w:color w:val="888888"/>
        <w:sz w:val="15"/>
        <w:szCs w:val="15"/>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5"/>
        <w:szCs w:val="15"/>
      </w:rPr>
      <w:t xml:space="preserve">Reporte técnico de calidad · BibliotecaIngeSoftware · Página </w:t>
    </w:r>
    <w:r>
      <w:rPr>
        <w:rFonts w:ascii="Calibri" w:cs="Calibri" w:eastAsia="Calibri" w:hAnsi="Calibri"/>
        <w:color w:val="888888"/>
        <w:sz w:val="15"/>
        <w:szCs w:val="15"/>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5"/>
        <w:szCs w:val="15"/>
      </w:rPr>
      <w:t xml:space="preserve">Reporte técnico de calidad · BibliotecaIngeSoftware · Página </w:t>
    </w:r>
    <w:r>
      <w:rPr>
        <w:rFonts w:ascii="Calibri" w:cs="Calibri" w:eastAsia="Calibri" w:hAnsi="Calibri"/>
        <w:color w:val="888888"/>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864"/>
      <w:sz w:val="28"/>
      <w:szCs w:val="28"/>
    </w:rPr>
  </w:style>
  <w:style w:type="paragraph" w:styleId="Heading2">
    <w:name w:val="Heading 2"/>
    <w:basedOn w:val="Normal"/>
    <w:next w:val="Normal"/>
    <w:qFormat/>
    <w:rPr>
      <w:rFonts w:ascii="Calibri" w:cs="Calibri" w:eastAsia="Calibri" w:hAnsi="Calibri"/>
      <w:b/>
      <w:bCs/>
      <w:color w:val="1F3864"/>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9f917429abd040ca996c528ddb4e146257d4f7b3.jpg"/><Relationship Id="rId11" Type="http://schemas.openxmlformats.org/officeDocument/2006/relationships/image" Target="media/ab06b62965dd5e0ebb378979f67c0c06f6de7022.jpg"/><Relationship Id="rId12" Type="http://schemas.openxmlformats.org/officeDocument/2006/relationships/image" Target="media/77a4f046020ea4161756fa4e574ea3bb352883eb.jpg"/><Relationship Id="rId13" Type="http://schemas.openxmlformats.org/officeDocument/2006/relationships/image" Target="media/04209a10a4d28828ac3ac30528af45cb477a6a54.png"/><Relationship Id="rId14" Type="http://schemas.openxmlformats.org/officeDocument/2006/relationships/image" Target="media/dab366ce071fcf8f9f0109c9b9b083b4c7a1ac29.png"/><Relationship Id="rId15" Type="http://schemas.openxmlformats.org/officeDocument/2006/relationships/image" Target="media/aa0280ae3aa9c160f9d62a6a6d2ad4027346e1a1.png"/><Relationship Id="rId16" Type="http://schemas.openxmlformats.org/officeDocument/2006/relationships/image" Target="media/8253d015da7619616c142d041156a891aded19e1.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Reporte técnico de calidad - BibliotecaIngeSoftware</dc:title>
  <dc:creator>Proyecto de Ingeniería de Software - LSCA UV</dc:creator>
  <cp:lastModifiedBy>Un-named</cp:lastModifiedBy>
  <cp:revision>1</cp:revision>
  <dcterms:created xsi:type="dcterms:W3CDTF">2026-08-06T03:09:41.409Z</dcterms:created>
  <dcterms:modified xsi:type="dcterms:W3CDTF">2026-08-06T03:09:41.409Z</dcterms:modified>
</cp:coreProperties>
</file>

<file path=docProps/custom.xml><?xml version="1.0" encoding="utf-8"?>
<Properties xmlns="http://schemas.openxmlformats.org/officeDocument/2006/custom-properties" xmlns:vt="http://schemas.openxmlformats.org/officeDocument/2006/docPropsVTypes"/>
</file>