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FBEE3">
      <w:pPr>
        <w:pStyle w:val="4"/>
        <w:spacing w:line="254" w:lineRule="auto"/>
      </w:pPr>
    </w:p>
    <w:p w14:paraId="2D5EB5DF">
      <w:pPr>
        <w:pStyle w:val="4"/>
        <w:spacing w:line="254" w:lineRule="auto"/>
      </w:pPr>
    </w:p>
    <w:p w14:paraId="21D0E931">
      <w:pPr>
        <w:pStyle w:val="4"/>
        <w:spacing w:line="254" w:lineRule="auto"/>
      </w:pPr>
    </w:p>
    <w:p w14:paraId="4FE3979D">
      <w:pPr>
        <w:pStyle w:val="4"/>
        <w:spacing w:line="255" w:lineRule="auto"/>
      </w:pPr>
    </w:p>
    <w:p w14:paraId="4DF41293">
      <w:pPr>
        <w:pStyle w:val="4"/>
        <w:spacing w:line="255" w:lineRule="auto"/>
      </w:pPr>
    </w:p>
    <w:p w14:paraId="288052F9">
      <w:pPr>
        <w:pStyle w:val="4"/>
        <w:spacing w:line="255" w:lineRule="auto"/>
      </w:pPr>
    </w:p>
    <w:p w14:paraId="41EA0A68">
      <w:pPr>
        <w:pStyle w:val="4"/>
        <w:spacing w:line="255" w:lineRule="auto"/>
      </w:pPr>
    </w:p>
    <w:p w14:paraId="76A502E8">
      <w:pPr>
        <w:pStyle w:val="4"/>
        <w:spacing w:line="255" w:lineRule="auto"/>
      </w:pPr>
    </w:p>
    <w:p w14:paraId="614D50BD">
      <w:pPr>
        <w:pStyle w:val="4"/>
        <w:spacing w:line="255" w:lineRule="auto"/>
      </w:pPr>
    </w:p>
    <w:p w14:paraId="54CE9EAC">
      <w:pPr>
        <w:pStyle w:val="4"/>
        <w:spacing w:line="255" w:lineRule="auto"/>
      </w:pPr>
    </w:p>
    <w:p w14:paraId="3DD88386">
      <w:pPr>
        <w:pStyle w:val="4"/>
        <w:spacing w:line="255" w:lineRule="auto"/>
      </w:pPr>
    </w:p>
    <w:p w14:paraId="7CF8CD2C">
      <w:pPr>
        <w:pStyle w:val="4"/>
        <w:spacing w:line="255" w:lineRule="auto"/>
      </w:pPr>
    </w:p>
    <w:p w14:paraId="3C1B576B">
      <w:pPr>
        <w:pStyle w:val="4"/>
        <w:spacing w:line="255" w:lineRule="auto"/>
      </w:pPr>
    </w:p>
    <w:p w14:paraId="5E2B0E57">
      <w:pPr>
        <w:pStyle w:val="4"/>
        <w:spacing w:line="255" w:lineRule="auto"/>
      </w:pPr>
    </w:p>
    <w:p w14:paraId="370E1924">
      <w:pPr>
        <w:pStyle w:val="4"/>
        <w:spacing w:line="3034" w:lineRule="exact"/>
      </w:pPr>
      <w:r>
        <w:rPr>
          <w:position w:val="-60"/>
        </w:rPr>
        <w:pict>
          <v:group id="_x0000_s1026" o:spid="_x0000_s1026" o:spt="203" style="height:151.7pt;width:598pt;" coordsize="11960,3033">
            <o:lock v:ext="edit"/>
            <v:rect id="_x0000_s1027" o:spid="_x0000_s1027" o:spt="1" style="position:absolute;left:0;top:6;height:2872;width:11960;" fillcolor="#AA0000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8" o:spid="_x0000_s1028" o:spt="202" type="#_x0000_t202" style="position:absolute;left:-20;top:1068;height:1986;width:120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57535E">
                    <w:pPr>
                      <w:spacing w:before="18" w:line="221" w:lineRule="auto"/>
                      <w:jc w:val="center"/>
                      <w:rPr>
                        <w:rFonts w:ascii="宋体" w:hAnsi="宋体" w:eastAsia="宋体" w:cs="宋体"/>
                        <w:sz w:val="70"/>
                        <w:szCs w:val="70"/>
                      </w:rPr>
                    </w:pPr>
                    <w:r>
                      <w:rPr>
                        <w:rFonts w:hint="eastAsia" w:ascii="宋体" w:hAnsi="宋体" w:eastAsia="宋体" w:cs="宋体"/>
                        <w:color w:val="FFFFFF"/>
                        <w:spacing w:val="7"/>
                        <w:sz w:val="70"/>
                        <w:szCs w:val="70"/>
                        <w:lang w:val="en-US" w:eastAsia="zh-CN"/>
                        <w14:textFill>
                          <w14:solidFill>
                            <w14:srgbClr w14:val="FFFFFF">
                              <w14:alpha w14:val="784"/>
                            </w14:srgbClr>
                          </w14:solidFill>
                        </w14:textFill>
                      </w:rPr>
                      <w:t>国际化城市治理</w:t>
                    </w:r>
                    <w:r>
                      <w:rPr>
                        <w:rFonts w:ascii="宋体" w:hAnsi="宋体" w:eastAsia="宋体" w:cs="宋体"/>
                        <w:color w:val="FFFFFF"/>
                        <w:spacing w:val="7"/>
                        <w:sz w:val="70"/>
                        <w:szCs w:val="70"/>
                        <w14:textFill>
                          <w14:solidFill>
                            <w14:srgbClr w14:val="FFFFFF">
                              <w14:alpha w14:val="784"/>
                            </w14:srgbClr>
                          </w14:solidFill>
                        </w14:textFill>
                      </w:rPr>
                      <w:t>智能研判报告</w:t>
                    </w:r>
                  </w:p>
                  <w:p w14:paraId="111B6C85"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</w:p>
                  <w:p w14:paraId="5F57860A"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</w:p>
                  <w:p w14:paraId="477090A3"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</w:p>
                  <w:p w14:paraId="0D6898CB">
                    <w:pPr>
                      <w:spacing w:line="154" w:lineRule="exact"/>
                      <w:ind w:firstLine="20"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7594600" cy="97155"/>
                          <wp:effectExtent l="0" t="0" r="0" b="0"/>
                          <wp:docPr id="2" name="IM 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594600" cy="9753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o:spid="_x0000_s1029" o:spt="75" type="#_x0000_t75" style="position:absolute;left:0;top:0;height:10;width:11960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w10:wrap type="none"/>
            <w10:anchorlock/>
          </v:group>
        </w:pict>
      </w:r>
    </w:p>
    <w:p w14:paraId="54B04A8B">
      <w:pPr>
        <w:pStyle w:val="4"/>
        <w:spacing w:line="247" w:lineRule="auto"/>
      </w:pPr>
    </w:p>
    <w:p w14:paraId="1F5141DE">
      <w:pPr>
        <w:pStyle w:val="4"/>
        <w:spacing w:line="247" w:lineRule="auto"/>
      </w:pPr>
    </w:p>
    <w:p w14:paraId="4CFF68E4">
      <w:pPr>
        <w:pStyle w:val="4"/>
        <w:spacing w:line="247" w:lineRule="auto"/>
      </w:pPr>
    </w:p>
    <w:p w14:paraId="1A6A2C77">
      <w:pPr>
        <w:pStyle w:val="4"/>
        <w:spacing w:line="247" w:lineRule="auto"/>
      </w:pPr>
    </w:p>
    <w:p w14:paraId="2A0D825B">
      <w:pPr>
        <w:pStyle w:val="4"/>
        <w:spacing w:line="247" w:lineRule="auto"/>
      </w:pPr>
    </w:p>
    <w:p w14:paraId="537D14EB">
      <w:pPr>
        <w:pStyle w:val="4"/>
        <w:spacing w:line="247" w:lineRule="auto"/>
      </w:pPr>
    </w:p>
    <w:p w14:paraId="1DB2E3B2">
      <w:pPr>
        <w:pStyle w:val="4"/>
        <w:spacing w:line="247" w:lineRule="auto"/>
      </w:pPr>
    </w:p>
    <w:p w14:paraId="3B30B088">
      <w:pPr>
        <w:pStyle w:val="4"/>
        <w:spacing w:line="247" w:lineRule="auto"/>
      </w:pPr>
    </w:p>
    <w:p w14:paraId="3D8FDC52">
      <w:pPr>
        <w:pStyle w:val="4"/>
        <w:spacing w:line="247" w:lineRule="auto"/>
      </w:pPr>
    </w:p>
    <w:p w14:paraId="76306D36">
      <w:pPr>
        <w:pStyle w:val="4"/>
        <w:spacing w:line="247" w:lineRule="auto"/>
      </w:pPr>
    </w:p>
    <w:p w14:paraId="5A6F71B3">
      <w:pPr>
        <w:pStyle w:val="4"/>
        <w:spacing w:line="247" w:lineRule="auto"/>
      </w:pPr>
    </w:p>
    <w:p w14:paraId="2F56155B">
      <w:pPr>
        <w:pStyle w:val="4"/>
        <w:spacing w:line="247" w:lineRule="auto"/>
      </w:pPr>
    </w:p>
    <w:p w14:paraId="1C74D5F1">
      <w:pPr>
        <w:pStyle w:val="4"/>
        <w:spacing w:line="247" w:lineRule="auto"/>
      </w:pPr>
    </w:p>
    <w:p w14:paraId="063CF58B">
      <w:pPr>
        <w:pStyle w:val="4"/>
        <w:spacing w:line="248" w:lineRule="auto"/>
      </w:pPr>
    </w:p>
    <w:p w14:paraId="63BADA95">
      <w:pPr>
        <w:pStyle w:val="4"/>
        <w:spacing w:line="248" w:lineRule="auto"/>
      </w:pPr>
    </w:p>
    <w:p w14:paraId="74CBEEA5">
      <w:pPr>
        <w:spacing w:before="130"/>
        <w:ind w:left="4972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3"/>
          <w:sz w:val="40"/>
          <w:szCs w:val="40"/>
        </w:rPr>
        <w:t>2025-07-01</w:t>
      </w:r>
    </w:p>
    <w:p w14:paraId="42ECC50F">
      <w:pPr>
        <w:rPr>
          <w:rFonts w:ascii="宋体" w:hAnsi="宋体" w:eastAsia="宋体" w:cs="宋体"/>
          <w:sz w:val="40"/>
          <w:szCs w:val="40"/>
        </w:rPr>
        <w:sectPr>
          <w:pgSz w:w="11960" w:h="16824"/>
          <w:pgMar w:top="1429" w:right="0" w:bottom="0" w:left="0" w:header="0" w:footer="0" w:gutter="0"/>
          <w:cols w:space="720" w:num="1"/>
        </w:sectPr>
      </w:pPr>
    </w:p>
    <w:p w14:paraId="2A7193E2">
      <w:pPr>
        <w:pStyle w:val="4"/>
        <w:spacing w:line="263" w:lineRule="auto"/>
      </w:pPr>
    </w:p>
    <w:p w14:paraId="17D18106">
      <w:pPr>
        <w:pStyle w:val="4"/>
        <w:spacing w:line="264" w:lineRule="auto"/>
      </w:pPr>
    </w:p>
    <w:p w14:paraId="28E7A56F">
      <w:pPr>
        <w:pStyle w:val="4"/>
        <w:spacing w:line="264" w:lineRule="auto"/>
      </w:pPr>
    </w:p>
    <w:p w14:paraId="4CEFAA68">
      <w:pPr>
        <w:spacing w:before="231" w:line="218" w:lineRule="auto"/>
        <w:ind w:left="1012"/>
        <w:jc w:val="center"/>
        <w:outlineLvl w:val="0"/>
        <w:rPr>
          <w:rFonts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color w:val="auto"/>
          <w:spacing w:val="7"/>
          <w:sz w:val="44"/>
          <w:szCs w:val="44"/>
          <w:lang w:val="en-US" w:eastAsia="zh-CN"/>
        </w:rPr>
        <w:t>国际化城市治理</w:t>
      </w:r>
      <w:r>
        <w:rPr>
          <w:rFonts w:ascii="宋体" w:hAnsi="宋体" w:eastAsia="宋体" w:cs="宋体"/>
          <w:color w:val="000000"/>
          <w:spacing w:val="-3"/>
          <w:sz w:val="44"/>
          <w:szCs w:val="44"/>
          <w14:textFill>
            <w14:solidFill>
              <w14:srgbClr w14:val="000000">
                <w14:alpha w14:val="784"/>
              </w14:srgbClr>
            </w14:solidFill>
          </w14:textFill>
        </w:rPr>
        <w:t>智能研判报告</w:t>
      </w:r>
      <w:bookmarkStart w:id="0" w:name="_GoBack"/>
      <w:bookmarkEnd w:id="0"/>
    </w:p>
    <w:p w14:paraId="1AD07E2B">
      <w:pPr>
        <w:spacing w:before="362" w:line="194" w:lineRule="auto"/>
        <w:ind w:left="22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color w:val="1F2329"/>
          <w:spacing w:val="-8"/>
          <w:sz w:val="30"/>
          <w:szCs w:val="30"/>
        </w:rPr>
        <w:t>—、概况</w:t>
      </w:r>
    </w:p>
    <w:p w14:paraId="01D57B8A">
      <w:pPr>
        <w:spacing w:before="202" w:line="245" w:lineRule="auto"/>
        <w:ind w:right="348" w:firstLine="20"/>
        <w:jc w:val="both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pacing w:val="-12"/>
          <w:sz w:val="24"/>
          <w:szCs w:val="24"/>
        </w:rPr>
        <w:t>青岛西海岸新区作为山东省首个GDP突破5000亿元的城区，已跻身全国区县"第一梯队"3。在数字经济、体验经济蓬勃发展的背景下，本报告从消费行为、职业变迁、区域对比和发展规划四个维度，全面分析新区新兴经济发展现状与未来趋势，为新区打造"新经济活力先行区"提供决策参考。</w:t>
      </w:r>
    </w:p>
    <w:p w14:paraId="46ABDDF0">
      <w:pPr>
        <w:pStyle w:val="4"/>
        <w:spacing w:line="263" w:lineRule="auto"/>
      </w:pPr>
    </w:p>
    <w:p w14:paraId="5076F6E7">
      <w:pPr>
        <w:pStyle w:val="4"/>
        <w:spacing w:line="264" w:lineRule="auto"/>
      </w:pPr>
    </w:p>
    <w:p w14:paraId="559871B6">
      <w:pPr>
        <w:spacing w:before="129" w:line="194" w:lineRule="auto"/>
        <w:ind w:left="24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color w:val="1F2329"/>
          <w:spacing w:val="-4"/>
          <w:sz w:val="30"/>
          <w:szCs w:val="30"/>
        </w:rPr>
        <w:t>⼆、</w:t>
      </w:r>
      <w:r>
        <w:rPr>
          <w:rFonts w:hint="eastAsia" w:ascii="微软雅黑" w:hAnsi="微软雅黑" w:eastAsia="微软雅黑" w:cs="微软雅黑"/>
          <w:color w:val="1F2329"/>
          <w:spacing w:val="-4"/>
          <w:sz w:val="30"/>
          <w:szCs w:val="30"/>
        </w:rPr>
        <w:t>热门消费行为感知及趋势预测</w:t>
      </w:r>
    </w:p>
    <w:p w14:paraId="51E01FDD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6" w:line="195" w:lineRule="auto"/>
        <w:ind w:left="62" w:firstLine="444" w:firstLineChars="200"/>
        <w:textAlignment w:val="baseline"/>
        <w:outlineLvl w:val="2"/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  <w:lang w:val="en-US" w:eastAsia="zh-CN"/>
        </w:rPr>
        <w:t>西海</w:t>
      </w:r>
      <w:r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  <w:t>岸新区的消费市场正经历深刻变革，呈现出多元化、体验化和数字化的鲜明特征。2023年，新区社会消费品零售总额增长7%，限额以上网络商品零售额增长250.7%，升级类商品消费如新能源汽车、金银珠宝类分别增长48.8%和34.6%3，显示出消费升级的强劲动力。</w:t>
      </w:r>
    </w:p>
    <w:p w14:paraId="37F49A76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6" w:line="195" w:lineRule="auto"/>
        <w:ind w:left="62" w:firstLine="444" w:firstLineChars="200"/>
        <w:textAlignment w:val="baseline"/>
        <w:outlineLvl w:val="2"/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  <w:t>沉浸式体验消费成为新区文旅商融合的核心驱动力。嘉年华·海信广场VILLAGE通过沉浸式氛围灯光秀、裸眼3D大屏等创新场景，试运营期间车流提升23%，销售额增长27%，会员增长超13万人6。新区重点打造的"提品质促消费十大场景"中，沉浸式剧场、主题公园实景演出、影视文旅新产品等体验项目成为亮点1。海信·玺悦天地商街以"松弛感"为主题，通过开放式商业空间、Mini后备箱市集、露营烧烤等创新业态，精准捕捉年轻消费群体对情绪价值的追求。</w:t>
      </w:r>
    </w:p>
    <w:p w14:paraId="6F4B6E64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6" w:line="195" w:lineRule="auto"/>
        <w:ind w:left="62" w:firstLine="444" w:firstLineChars="200"/>
        <w:textAlignment w:val="baseline"/>
        <w:outlineLvl w:val="2"/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  <w:t>微度假与夜间经济形成消费新增长极。新区依托滨海资源，打造"海洋牧场+休闲海钓+文化旅游"多业态融合模式1，嘉年华·海信广场VILLAGE推出的"夜游"项目成为新地标6。预计到2025年，新区游客接待量将突破4500万人次1，文旅消费潜力巨大。</w:t>
      </w:r>
    </w:p>
    <w:p w14:paraId="476A8022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6" w:line="195" w:lineRule="auto"/>
        <w:ind w:left="62" w:firstLine="444" w:firstLineChars="200"/>
        <w:textAlignment w:val="baseline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  <w:t>数字化消费渗透加速传统商业转型。新区培育100名电商达人，鼓励企业搭建"小程序"等销售平台1，推动直播电商、社交电商等新模式发展。2023年新区数字经济核心产业收入突破700亿元，增长15%3，为消费数字化转型提供坚实基础。</w:t>
      </w:r>
    </w:p>
    <w:p w14:paraId="6A315F5F">
      <w:pPr>
        <w:spacing w:before="324" w:line="194" w:lineRule="auto"/>
        <w:outlineLvl w:val="1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 w:cs="微软雅黑"/>
          <w:color w:val="1F2329"/>
          <w:spacing w:val="-4"/>
          <w:sz w:val="30"/>
          <w:szCs w:val="30"/>
        </w:rPr>
        <w:t>三、</w:t>
      </w:r>
      <w:r>
        <w:rPr>
          <w:rFonts w:hint="eastAsia" w:ascii="微软雅黑" w:hAnsi="微软雅黑" w:eastAsia="微软雅黑" w:cs="微软雅黑"/>
          <w:color w:val="1F2329"/>
          <w:spacing w:val="-4"/>
          <w:sz w:val="30"/>
          <w:szCs w:val="30"/>
          <w:lang w:val="en-US" w:eastAsia="zh-CN"/>
        </w:rPr>
        <w:t>新兴职业及支持度分析</w:t>
      </w:r>
    </w:p>
    <w:p w14:paraId="322D40C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6" w:line="195" w:lineRule="auto"/>
        <w:ind w:left="62" w:firstLine="444" w:firstLineChars="200"/>
        <w:textAlignment w:val="baseline"/>
        <w:outlineLvl w:val="2"/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  <w:t>随着产业结构升级和消费模式变革，西海岸新区新兴职业呈现多元化、高技能化和专业化特征。新区通过特色职称评审、技能培训和政策扶持，构建了较为完善的新兴职业发展支持体系。</w:t>
      </w:r>
    </w:p>
    <w:p w14:paraId="0060774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6" w:line="195" w:lineRule="auto"/>
        <w:ind w:left="62" w:firstLine="444" w:firstLineChars="200"/>
        <w:textAlignment w:val="baseline"/>
        <w:outlineLvl w:val="2"/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  <w:t>数字经济相关职业快速成长。新区聚焦集成电路、新型显示等新兴产业，开展特色职称评审，2021年以来累计评审通过工业互联网初、中、高级职称1393人7。2024年新区启动集成电路(新型显示)专业技术人才职称申报，覆盖芯片设计、封装测试、装备制造等全产业链人才7。在电商直播领域，新区评选直播电商带头人、优秀村书记直播带货达人，计划培育100名电商达人1，并支持电商基地开设培训班，壮大电商人才队伍。</w:t>
      </w:r>
    </w:p>
    <w:p w14:paraId="548D83B9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6" w:line="195" w:lineRule="auto"/>
        <w:ind w:left="62" w:firstLine="444" w:firstLineChars="200"/>
        <w:textAlignment w:val="baseline"/>
        <w:outlineLvl w:val="2"/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  <w:t>文旅融合职业需求旺盛。随着沉浸式文旅项目发展，影视工业旅游指导师、剧本杀编剧、AR体验设计师等新职业应运而生。新区推动景区与演艺资源深度联动，开发影视文旅新产品，需要大量复合型文化创意人才1。嘉年华·海信广场VILLAGE的情景化沉浸式体验打造，也催生了商业空间设计师、灯光艺术导演等新兴岗位6。</w:t>
      </w:r>
    </w:p>
    <w:p w14:paraId="409E8253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6" w:line="195" w:lineRule="auto"/>
        <w:ind w:left="62" w:firstLine="444" w:firstLineChars="200"/>
        <w:textAlignment w:val="baseline"/>
        <w:outlineLvl w:val="2"/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  <w:t>先进制造技能人才培养体系完善。新区拥有6所技工院校，在校生8100人，开设无人机应用技术、机电一体化等35个专业，每年输送技能人才2000名左右9。新设立的青岛新兴电力技工学校重点培养供用电技术、电子技术应用等专业人才，推行"企业导师+专业教师"联合授课模式，与80余家企业达成深度合作9。2025年新区出台的《高质量充分就业行动工作方案》提出打造复合型高技能人才队伍，通过终身职业技能培训制度和"八级工"序列制度强化技能人才培养5。</w:t>
      </w:r>
    </w:p>
    <w:p w14:paraId="7E757CDF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6" w:line="195" w:lineRule="auto"/>
        <w:ind w:left="62" w:firstLine="444" w:firstLineChars="200"/>
        <w:textAlignment w:val="baseline"/>
        <w:outlineLvl w:val="2"/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F2329"/>
          <w:spacing w:val="-9"/>
          <w:sz w:val="24"/>
          <w:szCs w:val="24"/>
        </w:rPr>
        <w:t>养老服务专业人才缺口亟待填补。新区计划创建50个以上养老托幼新场景，创新"旅居养老""代际共享"等模式1，需要大量养老护理员、健康管理师、老年活动策划等专业人才。新区通过"就享家"乐业服务站和技能培训，促进重点群体就业创业，2024年参与政府补贴技能培训人数超过一万</w:t>
      </w:r>
    </w:p>
    <w:p w14:paraId="28713BA2">
      <w:pPr>
        <w:spacing w:before="130" w:line="194" w:lineRule="auto"/>
        <w:ind w:left="8"/>
        <w:outlineLvl w:val="1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 w:cs="微软雅黑"/>
          <w:color w:val="1F2329"/>
          <w:spacing w:val="-8"/>
          <w:sz w:val="30"/>
          <w:szCs w:val="30"/>
        </w:rPr>
        <w:t>四、</w:t>
      </w:r>
      <w:r>
        <w:rPr>
          <w:rFonts w:hint="eastAsia" w:ascii="微软雅黑" w:hAnsi="微软雅黑" w:eastAsia="微软雅黑" w:cs="微软雅黑"/>
          <w:color w:val="1F2329"/>
          <w:spacing w:val="-8"/>
          <w:sz w:val="30"/>
          <w:szCs w:val="30"/>
          <w:lang w:val="en-US" w:eastAsia="zh-CN"/>
        </w:rPr>
        <w:t>发展规划建议</w:t>
      </w:r>
    </w:p>
    <w:p w14:paraId="61004D8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基于前述分析，针对青岛西海岸新区新兴消费和新兴职业发展，提出以下系统性、前瞻性的规划建议，以助力新区建设"新经济活力先行区"和"海洋经济发展引领区"。</w:t>
      </w:r>
    </w:p>
    <w:p w14:paraId="7538312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新兴消费升级策略</w:t>
      </w:r>
    </w:p>
    <w:p w14:paraId="12BAE36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打造国家级沉浸式消费示范区。依托东方影都、嘉年华海信广场VILLAGE等现有载体，规划建设"西海岸元宇宙消费体验带"，引入VR/AR、全息投影、数字孪生等技术，开发虚拟导游、AR地图导航等创新应用46。支持5G高新视频实验园集聚激光显示、数字投影等项目，推出更多沉浸式视频体验产品4。到2027年，力争培育10个以上具有全国影响力的沉浸式消费标杆项目，吸引沉浸式内容创作企业50家以上。</w:t>
      </w:r>
    </w:p>
    <w:p w14:paraId="53FDF5F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构建"海洋+"特色消费生态圈。放大海洋经济优势，推动"海洋牧场+休闲海钓+文化旅游"多业态深度融合1。开发深海旅游体验馆、海军战事体验中心等特色项目4，办好海洋美食文化节，评选海洋特色名店、名菜1。加快建设中国北方(青岛)国际水产品交易中心和冷链物流基地，发展高端海鲜消费和冷链电商8。支持致真存储芯片等项目发展，推出"芯片主题"工业旅游线路3。</w:t>
      </w:r>
    </w:p>
    <w:p w14:paraId="41F299B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完善跨境消费基础设施。全面建成青岛自贸全球消费综合体，做强中日韩消费专区电商体验中心，布局海外仓10个以上1。探索构建以双循环为特征的进口贸易产业集聚区，培育M2B等新商业模式4。简化跨境电商通关流程，扩大"网购保税+线下自提"业务规模，争取将青岛港自动化码头三期纳入综合保税区范围8。</w:t>
      </w:r>
    </w:p>
    <w:p w14:paraId="7A8D01A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</w:p>
    <w:p w14:paraId="355F798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创新银发经济服务模式。围绕创建的50个养老托幼新场景1，开发智慧健康管理、适老化商业服务等产品。推广文达通智慧社区服务大模型1，推动老年大学与景区、商圈联动。引入日本、北欧先进养老理念，发展"旅居养老""代际共享"社区，培育老年健康管理师、养老规划师等新职业。</w:t>
      </w:r>
    </w:p>
    <w:p w14:paraId="6D3D36B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新兴职业培育方案</w:t>
      </w:r>
    </w:p>
    <w:p w14:paraId="6D0B26A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建立"新职业发展联盟"。由政府牵头，联合海尔、海信、京东方等链主企业，以及中国海洋大学等高校，共同制定新兴职业能力标准和评价体系。扩大特色职称评审范围，在虚拟现实、跨境电商、海洋装备等领域增设评审专业7。借鉴"工业互联网特色职称评审"经验7，三年内将特色职称覆盖10个以上新兴产业。</w:t>
      </w:r>
    </w:p>
    <w:p w14:paraId="2FE8764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构建产教融合型技能培养体系。支持青岛新兴电力技工学校等院校开设氢能技术、预制菜工程等新兴专业9。推行"招生即招工、上课即上岗、毕业即就业"闭环培养模式，实现教学内容与岗位标准无缝衔接9。依托"就享家"乐业服务站25，开展短视频剪辑、电商直播等市场急需技能培训，每年培训不少于1万人次。</w:t>
      </w:r>
    </w:p>
    <w:p w14:paraId="24ED888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实施"新职业青年安居计划"。针对集成电路设计师、沉浸式内容创作者等新兴职业青年人才，提供人才公寓租金补贴、购房优惠和子女入学便利。设立新兴职业创业基金，对符合条件的创业项目给予最高50万元启动资金支持。建设青年人才社区，配套共享办公、路演空间等设施，增强人才归属感。</w:t>
      </w:r>
    </w:p>
    <w:p w14:paraId="5BBA9E6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打造新职业社会认同工程。联合媒体策划"新区新职业"专题报道，提升剧本杀编剧、AR体验设计师等新兴职业的社会认知度。举办新兴职业技能大赛，设立"新区工匠"荣誉称号。推动新兴职业纳入政府补贴培训目录，鼓励企业建立与技术序列并行的管理晋升双通道。</w:t>
      </w:r>
    </w:p>
    <w:p w14:paraId="11299DD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保障机制与政策创新</w:t>
      </w:r>
    </w:p>
    <w:p w14:paraId="186DCF2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强化组织保障。建议成立由管委主要领导挂帅的新兴经济发展领导小组，统筹消费升级与职业培育工作。设立新经济专家咨询委员会，吸纳企业家、学者和投资人参与决策。在灵山湾影视文化产业区设立新经济服务窗口，提供政策咨询、项目对接一站式服务4。</w:t>
      </w:r>
    </w:p>
    <w:p w14:paraId="762CD85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加大财政金融支持。设立10亿元新经济发展基金，重点投向沉浸式体验、跨境电商、海洋科技等领域。对商业综合体改造沉浸式场景给予不超过投资额30%的补贴。落实研发费用加计扣除政策，将内容创意、工业设计等智力投入纳入抵扣范围。鼓励银行开发"新职业人才贷""场景创新贷"等特色金融产品5。</w:t>
      </w:r>
    </w:p>
    <w:p w14:paraId="13993A0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优化数据要素配置。建设新区消费大数据平台，实时监测新兴消费业态发展态势。依法开放公共数据资源，支持企业开发消费趋势预测模型。在隐私保护前提下，推动商圈、景区数据共享，实现精准营销和服务优化。探索建立数据要素交易市场，促进数据资源有序流动和价值释放。</w:t>
      </w:r>
    </w:p>
    <w:p w14:paraId="68E2614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完善评估反馈机制。建立新兴消费与职业发展指标体系，每季度发布发展报告。聘请第三方机构开展政策效果评估，动态调整支持方向。设立企业观察员制度，收集市场主体的意见建议。定期举办新经济沙龙，促进政府、企业、学界交流碰撞。</w:t>
      </w:r>
    </w:p>
    <w:p w14:paraId="2651237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5" w:lineRule="auto"/>
        <w:ind w:firstLine="444" w:firstLineChars="200"/>
        <w:textAlignment w:val="baseline"/>
        <w:rPr>
          <w:rFonts w:hint="eastAsia" w:ascii="微软雅黑" w:hAnsi="微软雅黑" w:eastAsia="微软雅黑" w:cs="微软雅黑"/>
          <w:sz w:val="24"/>
          <w:szCs w:val="24"/>
        </w:rPr>
        <w:sectPr>
          <w:headerReference r:id="rId5" w:type="default"/>
          <w:pgSz w:w="11900" w:h="16820"/>
          <w:pgMar w:top="400" w:right="882" w:bottom="0" w:left="1110" w:header="0" w:footer="0" w:gutter="0"/>
          <w:cols w:space="720" w:num="1"/>
        </w:sectPr>
      </w:pPr>
      <w:r>
        <w:rPr>
          <w:rFonts w:hint="eastAsia" w:ascii="微软雅黑" w:hAnsi="微软雅黑" w:eastAsia="微软雅黑" w:cs="微软雅黑"/>
          <w:snapToGrid w:val="0"/>
          <w:color w:val="1F2329"/>
          <w:spacing w:val="-9"/>
          <w:kern w:val="0"/>
          <w:sz w:val="24"/>
          <w:szCs w:val="24"/>
          <w:lang w:val="en-US" w:eastAsia="en-US" w:bidi="ar-SA"/>
        </w:rPr>
        <w:t>通过以上规划实施，预计到2027年，西海岸新区将实现以下目标：新兴消费占社零总额比重超过35%，培育具有全国影响力的新消费品牌20个以上；新兴职业从业人数突破10万，建成5个高水平新职业培训基地；海洋特色消费和数字经济应用场景在全国形成示范效应，为新区巩固"山东第一区"地位、跻身国家级新区"第一方阵"提供持续动力</w:t>
      </w:r>
    </w:p>
    <w:p w14:paraId="485C1A19">
      <w:pPr>
        <w:spacing w:before="198" w:line="248" w:lineRule="auto"/>
        <w:rPr>
          <w:rFonts w:ascii="微软雅黑" w:hAnsi="微软雅黑" w:eastAsia="微软雅黑" w:cs="微软雅黑"/>
          <w:sz w:val="24"/>
          <w:szCs w:val="24"/>
        </w:rPr>
      </w:pPr>
    </w:p>
    <w:sectPr>
      <w:pgSz w:w="11900" w:h="16820"/>
      <w:pgMar w:top="400" w:right="989" w:bottom="0" w:left="108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FF7BD">
    <w:pPr>
      <w:pStyle w:val="4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4A04DAC"/>
    <w:rsid w:val="4AEE37E4"/>
    <w:rsid w:val="72B915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3322</Words>
  <Characters>3465</Characters>
  <TotalTime>0</TotalTime>
  <ScaleCrop>false</ScaleCrop>
  <LinksUpToDate>false</LinksUpToDate>
  <CharactersWithSpaces>3465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2025-07-04T14:58:00Z</dcterms:created>
  <dc:creator>北大青岛研究院</dc:creator>
  <cp:lastModifiedBy>WPS_1682129976</cp:lastModifiedBy>
  <dcterms:modified xsi:type="dcterms:W3CDTF">2025-07-07T06:44:36Z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2025-07-04T15:06:53Z</vt:filetime>
  </property>
  <property fmtid="{D5CDD505-2E9C-101B-9397-08002B2CF9AE}" pid="4" name="KSOTemplateDocerSaveRecord">
    <vt:lpwstr>eyJoZGlkIjoiODk4MmI0MjI3M2E4MzM4OGFmYjlkNTVjNDc0ODg1YTUiLCJ1c2VySWQiOiIxNDg5MjkyMTEyIn0=</vt:lpwstr>
  </property>
  <property fmtid="{D5CDD505-2E9C-101B-9397-08002B2CF9AE}" pid="5" name="KSOProductBuildVer">
    <vt:lpwstr>2052-12.1.0.21915</vt:lpwstr>
  </property>
  <property fmtid="{D5CDD505-2E9C-101B-9397-08002B2CF9AE}" pid="6" name="ICV">
    <vt:lpwstr>CBD67E022D1544C999BB70D7688D2E62_12</vt:lpwstr>
  </property>
</Properties>
</file>