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CloudScale Analytics - Technical Architecture Document</w:t>
      </w:r>
    </w:p>
    <w:p>
      <w:pPr>
        <w:pStyle w:val="Heading1"/>
      </w:pPr>
      <w:r>
        <w:t>Executive Summary</w:t>
      </w:r>
    </w:p>
    <w:p>
      <w:r>
        <w:t>CloudScale Analytics is an enterprise data platform launched in June 2024 by DataFlow Inc., headquartered in Seattle, Washington. The platform processes over 2.3 petabytes of data daily across 156 enterprise customers. The system achieves 99.97% uptime with an average query response time of 340 milliseconds. CloudScale employs a microservices architecture with 47 independent services running on Kubernetes clusters across 8 geographic regions.</w:t>
      </w:r>
    </w:p>
    <w:p>
      <w:pPr>
        <w:pStyle w:val="Heading1"/>
      </w:pPr>
      <w:r>
        <w:t>System Architecture</w:t>
      </w:r>
    </w:p>
    <w:p>
      <w:r>
        <w:t>The CloudScale platform consists of three primary layers: the Ingestion Layer, Processing Layer, and Query Layer. The Ingestion Layer handles data from 23 different source types including REST APIs, streaming sources (Kafka, Kinesis), and batch uploads. Data is validated using a schema registry containing 1,847 registered schemas. The Processing Layer uses Apache Spark clusters with a total capacity of 12,000 cores and 96 TB of memory.</w:t>
      </w:r>
    </w:p>
    <w:p>
      <w:pPr>
        <w:pStyle w:val="Heading2"/>
      </w:pPr>
      <w:r>
        <w:t>Core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Technology</w:t>
            </w:r>
          </w:p>
        </w:tc>
        <w:tc>
          <w:tcPr>
            <w:tcW w:type="dxa" w:w="2160"/>
          </w:tcPr>
          <w:p>
            <w:r>
              <w:rPr>
                <w:b/>
              </w:rPr>
              <w:t>Instances</w:t>
            </w:r>
          </w:p>
        </w:tc>
        <w:tc>
          <w:tcPr>
            <w:tcW w:type="dxa" w:w="2160"/>
          </w:tcPr>
          <w:p>
            <w:r>
              <w:rPr>
                <w:b/>
              </w:rPr>
              <w:t>Purpose</w:t>
            </w:r>
          </w:p>
        </w:tc>
      </w:tr>
      <w:tr>
        <w:tc>
          <w:tcPr>
            <w:tcW w:type="dxa" w:w="2160"/>
          </w:tcPr>
          <w:p>
            <w:r>
              <w:t>API Gateway</w:t>
            </w:r>
          </w:p>
        </w:tc>
        <w:tc>
          <w:tcPr>
            <w:tcW w:type="dxa" w:w="2160"/>
          </w:tcPr>
          <w:p>
            <w:r>
              <w:t>Kong + Custom</w:t>
            </w:r>
          </w:p>
        </w:tc>
        <w:tc>
          <w:tcPr>
            <w:tcW w:type="dxa" w:w="2160"/>
          </w:tcPr>
          <w:p>
            <w:r>
              <w:t>24</w:t>
            </w:r>
          </w:p>
        </w:tc>
        <w:tc>
          <w:tcPr>
            <w:tcW w:type="dxa" w:w="2160"/>
          </w:tcPr>
          <w:p>
            <w:r>
              <w:t>Request routing, rate limiting</w:t>
            </w:r>
          </w:p>
        </w:tc>
      </w:tr>
      <w:tr>
        <w:tc>
          <w:tcPr>
            <w:tcW w:type="dxa" w:w="2160"/>
          </w:tcPr>
          <w:p>
            <w:r>
              <w:t>Message Queue</w:t>
            </w:r>
          </w:p>
        </w:tc>
        <w:tc>
          <w:tcPr>
            <w:tcW w:type="dxa" w:w="2160"/>
          </w:tcPr>
          <w:p>
            <w:r>
              <w:t>Apache Kafka</w:t>
            </w:r>
          </w:p>
        </w:tc>
        <w:tc>
          <w:tcPr>
            <w:tcW w:type="dxa" w:w="2160"/>
          </w:tcPr>
          <w:p>
            <w:r>
              <w:t>36</w:t>
            </w:r>
          </w:p>
        </w:tc>
        <w:tc>
          <w:tcPr>
            <w:tcW w:type="dxa" w:w="2160"/>
          </w:tcPr>
          <w:p>
            <w:r>
              <w:t>Event streaming, 2M msg/sec</w:t>
            </w:r>
          </w:p>
        </w:tc>
      </w:tr>
      <w:tr>
        <w:tc>
          <w:tcPr>
            <w:tcW w:type="dxa" w:w="2160"/>
          </w:tcPr>
          <w:p>
            <w:r>
              <w:t>Cache Layer</w:t>
            </w:r>
          </w:p>
        </w:tc>
        <w:tc>
          <w:tcPr>
            <w:tcW w:type="dxa" w:w="2160"/>
          </w:tcPr>
          <w:p>
            <w:r>
              <w:t>Redis Cluster</w:t>
            </w:r>
          </w:p>
        </w:tc>
        <w:tc>
          <w:tcPr>
            <w:tcW w:type="dxa" w:w="2160"/>
          </w:tcPr>
          <w:p>
            <w:r>
              <w:t>18</w:t>
            </w:r>
          </w:p>
        </w:tc>
        <w:tc>
          <w:tcPr>
            <w:tcW w:type="dxa" w:w="2160"/>
          </w:tcPr>
          <w:p>
            <w:r>
              <w:t>Query cache, session storage</w:t>
            </w:r>
          </w:p>
        </w:tc>
      </w:tr>
      <w:tr>
        <w:tc>
          <w:tcPr>
            <w:tcW w:type="dxa" w:w="2160"/>
          </w:tcPr>
          <w:p>
            <w:r>
              <w:t>Compute Engine</w:t>
            </w:r>
          </w:p>
        </w:tc>
        <w:tc>
          <w:tcPr>
            <w:tcW w:type="dxa" w:w="2160"/>
          </w:tcPr>
          <w:p>
            <w:r>
              <w:t>Apache Spark</w:t>
            </w:r>
          </w:p>
        </w:tc>
        <w:tc>
          <w:tcPr>
            <w:tcW w:type="dxa" w:w="2160"/>
          </w:tcPr>
          <w:p>
            <w:r>
              <w:t>156</w:t>
            </w:r>
          </w:p>
        </w:tc>
        <w:tc>
          <w:tcPr>
            <w:tcW w:type="dxa" w:w="2160"/>
          </w:tcPr>
          <w:p>
            <w:r>
              <w:t>Data transformation, ML inference</w:t>
            </w:r>
          </w:p>
        </w:tc>
      </w:tr>
      <w:tr>
        <w:tc>
          <w:tcPr>
            <w:tcW w:type="dxa" w:w="2160"/>
          </w:tcPr>
          <w:p>
            <w:r>
              <w:t>Storage</w:t>
            </w:r>
          </w:p>
        </w:tc>
        <w:tc>
          <w:tcPr>
            <w:tcW w:type="dxa" w:w="2160"/>
          </w:tcPr>
          <w:p>
            <w:r>
              <w:t>Delta Lake</w:t>
            </w:r>
          </w:p>
        </w:tc>
        <w:tc>
          <w:tcPr>
            <w:tcW w:type="dxa" w:w="2160"/>
          </w:tcPr>
          <w:p>
            <w:r>
              <w:t>N/A</w:t>
            </w:r>
          </w:p>
        </w:tc>
        <w:tc>
          <w:tcPr>
            <w:tcW w:type="dxa" w:w="2160"/>
          </w:tcPr>
          <w:p>
            <w:r>
              <w:t>2.3 PB total, columnar format</w:t>
            </w:r>
          </w:p>
        </w:tc>
      </w:tr>
      <w:tr>
        <w:tc>
          <w:tcPr>
            <w:tcW w:type="dxa" w:w="2160"/>
          </w:tcPr>
          <w:p>
            <w:r>
              <w:t>Search Index</w:t>
            </w:r>
          </w:p>
        </w:tc>
        <w:tc>
          <w:tcPr>
            <w:tcW w:type="dxa" w:w="2160"/>
          </w:tcPr>
          <w:p>
            <w:r>
              <w:t>Elasticsearch</w:t>
            </w:r>
          </w:p>
        </w:tc>
        <w:tc>
          <w:tcPr>
            <w:tcW w:type="dxa" w:w="2160"/>
          </w:tcPr>
          <w:p>
            <w:r>
              <w:t>42</w:t>
            </w:r>
          </w:p>
        </w:tc>
        <w:tc>
          <w:tcPr>
            <w:tcW w:type="dxa" w:w="2160"/>
          </w:tcPr>
          <w:p>
            <w:r>
              <w:t>Full-text search, log analytics</w:t>
            </w:r>
          </w:p>
        </w:tc>
      </w:tr>
    </w:tbl>
    <w:p/>
    <w:p>
      <w:pPr>
        <w:pStyle w:val="Heading1"/>
      </w:pPr>
      <w:r>
        <w:t>Performance Metrics</w:t>
      </w:r>
    </w:p>
    <w:p>
      <w:r>
        <w:t>CloudScale maintains strict SLAs for enterprise customers. The platform guarantees query response times under 500ms for 95th percentile queries, with complex analytical queries completing within 30 seconds. The system handles peak loads of 450,000 concurrent connections with automatic horizontal scaling triggered at 70% CPU utilization.</w:t>
      </w:r>
    </w:p>
    <w:p>
      <w:pPr>
        <w:pStyle w:val="Heading2"/>
      </w:pPr>
      <w:r>
        <w:t>SLA Guarantees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Current Performance</w:t>
            </w:r>
          </w:p>
        </w:tc>
      </w:tr>
      <w:tr>
        <w:tc>
          <w:tcPr>
            <w:tcW w:type="dxa" w:w="2880"/>
          </w:tcPr>
          <w:p>
            <w:r>
              <w:t>Uptime</w:t>
            </w:r>
          </w:p>
        </w:tc>
        <w:tc>
          <w:tcPr>
            <w:tcW w:type="dxa" w:w="2880"/>
          </w:tcPr>
          <w:p>
            <w:r>
              <w:t>99.95%</w:t>
            </w:r>
          </w:p>
        </w:tc>
        <w:tc>
          <w:tcPr>
            <w:tcW w:type="dxa" w:w="2880"/>
          </w:tcPr>
          <w:p>
            <w:r>
              <w:t>99.97%</w:t>
            </w:r>
          </w:p>
        </w:tc>
      </w:tr>
      <w:tr>
        <w:tc>
          <w:tcPr>
            <w:tcW w:type="dxa" w:w="2880"/>
          </w:tcPr>
          <w:p>
            <w:r>
              <w:t>Query Response (p95)</w:t>
            </w:r>
          </w:p>
        </w:tc>
        <w:tc>
          <w:tcPr>
            <w:tcW w:type="dxa" w:w="2880"/>
          </w:tcPr>
          <w:p>
            <w:r>
              <w:t>&lt;500ms</w:t>
            </w:r>
          </w:p>
        </w:tc>
        <w:tc>
          <w:tcPr>
            <w:tcW w:type="dxa" w:w="2880"/>
          </w:tcPr>
          <w:p>
            <w:r>
              <w:t>340ms</w:t>
            </w:r>
          </w:p>
        </w:tc>
      </w:tr>
      <w:tr>
        <w:tc>
          <w:tcPr>
            <w:tcW w:type="dxa" w:w="2880"/>
          </w:tcPr>
          <w:p>
            <w:r>
              <w:t>Data Freshness</w:t>
            </w:r>
          </w:p>
        </w:tc>
        <w:tc>
          <w:tcPr>
            <w:tcW w:type="dxa" w:w="2880"/>
          </w:tcPr>
          <w:p>
            <w:r>
              <w:t>&lt;5 minutes</w:t>
            </w:r>
          </w:p>
        </w:tc>
        <w:tc>
          <w:tcPr>
            <w:tcW w:type="dxa" w:w="2880"/>
          </w:tcPr>
          <w:p>
            <w:r>
              <w:t>2.3 minutes</w:t>
            </w:r>
          </w:p>
        </w:tc>
      </w:tr>
      <w:tr>
        <w:tc>
          <w:tcPr>
            <w:tcW w:type="dxa" w:w="2880"/>
          </w:tcPr>
          <w:p>
            <w:r>
              <w:t>Recovery Time (RTO)</w:t>
            </w:r>
          </w:p>
        </w:tc>
        <w:tc>
          <w:tcPr>
            <w:tcW w:type="dxa" w:w="2880"/>
          </w:tcPr>
          <w:p>
            <w:r>
              <w:t>&lt;15 minutes</w:t>
            </w:r>
          </w:p>
        </w:tc>
        <w:tc>
          <w:tcPr>
            <w:tcW w:type="dxa" w:w="2880"/>
          </w:tcPr>
          <w:p>
            <w:r>
              <w:t>8 minutes</w:t>
            </w:r>
          </w:p>
        </w:tc>
      </w:tr>
      <w:tr>
        <w:tc>
          <w:tcPr>
            <w:tcW w:type="dxa" w:w="2880"/>
          </w:tcPr>
          <w:p>
            <w:r>
              <w:t>Data Durability</w:t>
            </w:r>
          </w:p>
        </w:tc>
        <w:tc>
          <w:tcPr>
            <w:tcW w:type="dxa" w:w="2880"/>
          </w:tcPr>
          <w:p>
            <w:r>
              <w:t>99.999999%</w:t>
            </w:r>
          </w:p>
        </w:tc>
        <w:tc>
          <w:tcPr>
            <w:tcW w:type="dxa" w:w="2880"/>
          </w:tcPr>
          <w:p>
            <w:r>
              <w:t>99.9999999%</w:t>
            </w:r>
          </w:p>
        </w:tc>
      </w:tr>
    </w:tbl>
    <w:p/>
    <w:p>
      <w:pPr>
        <w:pStyle w:val="Heading1"/>
      </w:pPr>
      <w:r>
        <w:t>Security Architecture</w:t>
      </w:r>
    </w:p>
    <w:p>
      <w:r>
        <w:t>All data is encrypted using AES-256 encryption at rest and TLS 1.3 in transit. The platform is SOC 2 Type II certified and GDPR compliant. Authentication uses OAuth 2.0 with SAML federation support. Role-based access control (RBAC) manages permissions across 312 defined roles. The security team conducts quarterly penetration tests, with the last audit completed on November 15, 2025, finding zero critical vulnerabilities.</w:t>
      </w:r>
    </w:p>
    <w:p>
      <w:pPr>
        <w:pStyle w:val="Heading1"/>
      </w:pPr>
      <w:r>
        <w:t>Pricing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Monthly Cost</w:t>
            </w:r>
          </w:p>
        </w:tc>
        <w:tc>
          <w:tcPr>
            <w:tcW w:type="dxa" w:w="2160"/>
          </w:tcPr>
          <w:p>
            <w:r>
              <w:rPr>
                <w:b/>
              </w:rPr>
              <w:t>Data Limit</w:t>
            </w:r>
          </w:p>
        </w:tc>
        <w:tc>
          <w:tcPr>
            <w:tcW w:type="dxa" w:w="2160"/>
          </w:tcPr>
          <w:p>
            <w:r>
              <w:rPr>
                <w:b/>
              </w:rPr>
              <w:t>Support</w:t>
            </w:r>
          </w:p>
        </w:tc>
      </w:tr>
      <w:tr>
        <w:tc>
          <w:tcPr>
            <w:tcW w:type="dxa" w:w="2160"/>
          </w:tcPr>
          <w:p>
            <w:r>
              <w:t>Starter</w:t>
            </w:r>
          </w:p>
        </w:tc>
        <w:tc>
          <w:tcPr>
            <w:tcW w:type="dxa" w:w="2160"/>
          </w:tcPr>
          <w:p>
            <w:r>
              <w:t>$2,500</w:t>
            </w:r>
          </w:p>
        </w:tc>
        <w:tc>
          <w:tcPr>
            <w:tcW w:type="dxa" w:w="2160"/>
          </w:tcPr>
          <w:p>
            <w:r>
              <w:t>100 GB</w:t>
            </w:r>
          </w:p>
        </w:tc>
        <w:tc>
          <w:tcPr>
            <w:tcW w:type="dxa" w:w="2160"/>
          </w:tcPr>
          <w:p>
            <w:r>
              <w:t>Email only</w:t>
            </w:r>
          </w:p>
        </w:tc>
      </w:tr>
      <w:tr>
        <w:tc>
          <w:tcPr>
            <w:tcW w:type="dxa" w:w="2160"/>
          </w:tcPr>
          <w:p>
            <w:r>
              <w:t>Professional</w:t>
            </w:r>
          </w:p>
        </w:tc>
        <w:tc>
          <w:tcPr>
            <w:tcW w:type="dxa" w:w="2160"/>
          </w:tcPr>
          <w:p>
            <w:r>
              <w:t>$8,500</w:t>
            </w:r>
          </w:p>
        </w:tc>
        <w:tc>
          <w:tcPr>
            <w:tcW w:type="dxa" w:w="2160"/>
          </w:tcPr>
          <w:p>
            <w:r>
              <w:t>1 TB</w:t>
            </w:r>
          </w:p>
        </w:tc>
        <w:tc>
          <w:tcPr>
            <w:tcW w:type="dxa" w:w="2160"/>
          </w:tcPr>
          <w:p>
            <w:r>
              <w:t>24/7 chat</w:t>
            </w:r>
          </w:p>
        </w:tc>
      </w:tr>
      <w:tr>
        <w:tc>
          <w:tcPr>
            <w:tcW w:type="dxa" w:w="2160"/>
          </w:tcPr>
          <w:p>
            <w:r>
              <w:t>Enterprise</w:t>
            </w:r>
          </w:p>
        </w:tc>
        <w:tc>
          <w:tcPr>
            <w:tcW w:type="dxa" w:w="2160"/>
          </w:tcPr>
          <w:p>
            <w:r>
              <w:t>$25,000</w:t>
            </w:r>
          </w:p>
        </w:tc>
        <w:tc>
          <w:tcPr>
            <w:tcW w:type="dxa" w:w="2160"/>
          </w:tcPr>
          <w:p>
            <w:r>
              <w:t>10 TB</w:t>
            </w:r>
          </w:p>
        </w:tc>
        <w:tc>
          <w:tcPr>
            <w:tcW w:type="dxa" w:w="2160"/>
          </w:tcPr>
          <w:p>
            <w:r>
              <w:t>Dedicated CSM</w:t>
            </w:r>
          </w:p>
        </w:tc>
      </w:tr>
      <w:tr>
        <w:tc>
          <w:tcPr>
            <w:tcW w:type="dxa" w:w="2160"/>
          </w:tcPr>
          <w:p>
            <w:r>
              <w:t>Unlimited</w:t>
            </w:r>
          </w:p>
        </w:tc>
        <w:tc>
          <w:tcPr>
            <w:tcW w:type="dxa" w:w="2160"/>
          </w:tcPr>
          <w:p>
            <w:r>
              <w:t>Custom</w:t>
            </w:r>
          </w:p>
        </w:tc>
        <w:tc>
          <w:tcPr>
            <w:tcW w:type="dxa" w:w="2160"/>
          </w:tcPr>
          <w:p>
            <w:r>
              <w:t>Unlimited</w:t>
            </w:r>
          </w:p>
        </w:tc>
        <w:tc>
          <w:tcPr>
            <w:tcW w:type="dxa" w:w="2160"/>
          </w:tcPr>
          <w:p>
            <w:r>
              <w:t>On-site support</w:t>
            </w:r>
          </w:p>
        </w:tc>
      </w:tr>
    </w:tbl>
    <w:p/>
    <w:p>
      <w:pPr>
        <w:pStyle w:val="Heading1"/>
      </w:pPr>
      <w:r>
        <w:t>2026 Roadmap</w:t>
      </w:r>
    </w:p>
    <w:p>
      <w:r>
        <w:t>Q1 2026 will introduce real-time ML inference with sub-100ms latency. Q2 brings the new GraphQL API and expanded connector library with 15 new data sources. The team plans to achieve FedRAMP certification by Q3 2026, enabling federal government contracts. Annual R&amp;D budget is set at $34 million, with 67 engineers dedicated to platform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