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Tongue Coating Binary Classification</w:t>
      </w:r>
    </w:p>
    <w:p>
      <w:pPr>
        <w:spacing w:after="60" w:before="0"/>
        <w:jc w:val="center"/>
      </w:pPr>
      <w:r>
        <w:rPr>
          <w:rFonts w:ascii="Arial" w:cs="Arial" w:eastAsia="Arial" w:hAnsi="Arial"/>
          <w:i/>
          <w:iCs/>
          <w:color w:val="2E75B6"/>
          <w:sz w:val="26"/>
          <w:szCs w:val="26"/>
        </w:rPr>
        <w:t xml:space="preserve">A Progressive Machine Learning Experimentation Pipeline</w:t>
      </w:r>
    </w:p>
    <w:p>
      <w:pPr>
        <w:spacing w:after="200" w:before="0"/>
        <w:jc w:val="center"/>
      </w:pPr>
      <w:r>
        <w:rPr>
          <w:rFonts w:ascii="Arial" w:cs="Arial" w:eastAsia="Arial" w:hAnsi="Arial"/>
          <w:color w:val="808080"/>
          <w:sz w:val="20"/>
          <w:szCs w:val="20"/>
        </w:rPr>
        <w:t xml:space="preserve">EEM561 Machine Learning  |  Homework Report  |  2025-2026</w:t>
      </w:r>
    </w:p>
    <w:p>
      <w:pPr>
        <w:pStyle w:val="Heading1"/>
        <w:spacing w:after="140" w:before="280"/>
      </w:pPr>
      <w:r>
        <w:rPr>
          <w:rFonts w:ascii="Arial" w:cs="Arial" w:eastAsia="Arial" w:hAnsi="Arial"/>
          <w:b/>
          <w:bCs/>
          <w:color w:val="1F4E79"/>
          <w:sz w:val="32"/>
          <w:szCs w:val="32"/>
        </w:rPr>
        <w:t xml:space="preserve">1. Introduction</w:t>
      </w:r>
    </w:p>
    <w:p>
      <w:pPr>
        <w:spacing w:after="100" w:before="100"/>
      </w:pPr>
      <w:r>
        <w:rPr>
          <w:rFonts w:ascii="Arial" w:cs="Arial" w:eastAsia="Arial" w:hAnsi="Arial"/>
          <w:color w:val="404040"/>
          <w:sz w:val="22"/>
          <w:szCs w:val="22"/>
        </w:rPr>
        <w:t xml:space="preserve">This report presents a systematic binary classification pipeline applied to a tongue coating dataset containing 300×300 JPEG images belonging to two classes: coated (label 1) and non-coated (label 0). Tongue coating analysis is a well-established diagnostic indicator in traditional medicine and clinical assessment, making automated classification both practically valuable and technically challenging due to intra-class variation in lighting, tongue position, and coating distribution.</w:t>
      </w:r>
    </w:p>
    <w:p>
      <w:pPr>
        <w:spacing w:after="100" w:before="100"/>
      </w:pPr>
      <w:r>
        <w:rPr>
          <w:rFonts w:ascii="Arial" w:cs="Arial" w:eastAsia="Arial" w:hAnsi="Arial"/>
          <w:color w:val="404040"/>
          <w:sz w:val="22"/>
          <w:szCs w:val="22"/>
        </w:rPr>
        <w:t xml:space="preserve">Following the EEM561 course methodology, five experiments are conducted in order of increasing complexity. Each experiment builds upon the previous one, introducing one or more improvements and demonstrating a measurable performance gain.</w:t>
      </w:r>
    </w:p>
    <w:p>
      <w:pPr>
        <w:pStyle w:val="Heading1"/>
        <w:spacing w:after="140" w:before="280"/>
      </w:pPr>
      <w:r>
        <w:rPr>
          <w:rFonts w:ascii="Arial" w:cs="Arial" w:eastAsia="Arial" w:hAnsi="Arial"/>
          <w:b/>
          <w:bCs/>
          <w:color w:val="1F4E79"/>
          <w:sz w:val="32"/>
          <w:szCs w:val="32"/>
        </w:rPr>
        <w:t xml:space="preserve">2. Dataset and Preprocessing</w:t>
      </w:r>
    </w:p>
    <w:p>
      <w:pPr>
        <w:pStyle w:val="Heading2"/>
        <w:spacing w:after="100" w:before="200"/>
      </w:pPr>
      <w:r>
        <w:rPr>
          <w:rFonts w:ascii="Arial" w:cs="Arial" w:eastAsia="Arial" w:hAnsi="Arial"/>
          <w:b/>
          <w:bCs/>
          <w:color w:val="2E75B6"/>
          <w:sz w:val="26"/>
          <w:szCs w:val="26"/>
        </w:rPr>
        <w:t xml:space="preserve">2.1  Dataset Statistics</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Source: Coated_non_coated.rar — two subdirectories: coated/ and non_coated/</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Approximate size: ~1,000–2,000 JPEG images, balanced between classes</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Image dimensions: 300×300 pixels (BGR); resized to 64×64 for all experiments</w:t>
      </w:r>
    </w:p>
    <w:p>
      <w:pPr>
        <w:pStyle w:val="Heading2"/>
        <w:spacing w:after="100" w:before="200"/>
      </w:pPr>
      <w:r>
        <w:rPr>
          <w:rFonts w:ascii="Arial" w:cs="Arial" w:eastAsia="Arial" w:hAnsi="Arial"/>
          <w:b/>
          <w:bCs/>
          <w:color w:val="2E75B6"/>
          <w:sz w:val="26"/>
          <w:szCs w:val="26"/>
        </w:rPr>
        <w:t xml:space="preserve">2.2  Data Split  (fixed seed = 42)</w:t>
      </w:r>
    </w:p>
    <w:p>
      <w:pPr>
        <w:spacing w:after="100" w:before="100"/>
      </w:pPr>
      <w:r>
        <w:rPr>
          <w:rFonts w:ascii="Arial" w:cs="Arial" w:eastAsia="Arial" w:hAnsi="Arial"/>
          <w:color w:val="404040"/>
          <w:sz w:val="22"/>
          <w:szCs w:val="22"/>
        </w:rPr>
        <w:t xml:space="preserve">A stratified split is applied to ensure class balance across all partitions:</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Training set: 80% of total data</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Validation set: 10% of total data (used for early stopping, not hyperparameter search)</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Test set: 10% of total data — unseen until final evaluation</w:t>
      </w:r>
    </w:p>
    <w:p>
      <w:pPr>
        <w:spacing w:after="100" w:before="100"/>
      </w:pPr>
      <w:r>
        <w:rPr>
          <w:rFonts w:ascii="Arial" w:cs="Arial" w:eastAsia="Arial" w:hAnsi="Arial"/>
          <w:color w:val="404040"/>
          <w:sz w:val="22"/>
          <w:szCs w:val="22"/>
        </w:rPr>
        <w:t xml:space="preserve">Crucially, data augmentation is applied exclusively to the training split. The validation and test splits receive only basic preprocessing (resizing + normalization) to avoid any form of data leakage or over-generalization bias.</w:t>
      </w:r>
    </w:p>
    <w:p>
      <w:pPr>
        <w:pStyle w:val="Heading1"/>
        <w:spacing w:after="140" w:before="280"/>
      </w:pPr>
      <w:r>
        <w:rPr>
          <w:rFonts w:ascii="Arial" w:cs="Arial" w:eastAsia="Arial" w:hAnsi="Arial"/>
          <w:b/>
          <w:bCs/>
          <w:color w:val="1F4E79"/>
          <w:sz w:val="32"/>
          <w:szCs w:val="32"/>
        </w:rPr>
        <w:t xml:space="preserve">3. Experimental Pipeline</w:t>
      </w:r>
    </w:p>
    <w:p>
      <w:pPr>
        <w:pStyle w:val="Heading2"/>
        <w:spacing w:after="100" w:before="200"/>
      </w:pPr>
      <w:r>
        <w:rPr>
          <w:rFonts w:ascii="Arial" w:cs="Arial" w:eastAsia="Arial" w:hAnsi="Arial"/>
          <w:b/>
          <w:bCs/>
          <w:color w:val="2E75B6"/>
          <w:sz w:val="26"/>
          <w:szCs w:val="26"/>
        </w:rPr>
        <w:t xml:space="preserve">3.1  Experiment 1 — Baseline MLP (Raw Pixels)</w:t>
      </w:r>
    </w:p>
    <w:p>
      <w:pPr>
        <w:spacing w:after="100" w:before="100"/>
      </w:pPr>
      <w:r>
        <w:rPr>
          <w:rFonts w:ascii="Arial" w:cs="Arial" w:eastAsia="Arial" w:hAnsi="Arial"/>
          <w:color w:val="404040"/>
          <w:sz w:val="22"/>
          <w:szCs w:val="22"/>
        </w:rPr>
        <w:t xml:space="preserve">The baseline model takes flattened raw 64×64×3 BGR pixel values (dimension = 12,288) as input with no preprocessing. A two-layer MLP with hidden sizes (256, 128) and ReLU activations is trained with Adam for up to 200 iterations. This establishes the performance floor without any feature engineering or regularization.</w:t>
      </w:r>
    </w:p>
    <w:p>
      <w:pPr>
        <w:pStyle w:val="Heading2"/>
        <w:spacing w:after="100" w:before="200"/>
      </w:pPr>
      <w:r>
        <w:rPr>
          <w:rFonts w:ascii="Arial" w:cs="Arial" w:eastAsia="Arial" w:hAnsi="Arial"/>
          <w:b/>
          <w:bCs/>
          <w:color w:val="2E75B6"/>
          <w:sz w:val="26"/>
          <w:szCs w:val="26"/>
        </w:rPr>
        <w:t xml:space="preserve">3.2  Experiment 2 — Normalization + Deeper Network</w:t>
      </w:r>
    </w:p>
    <w:p>
      <w:pPr>
        <w:spacing w:after="100" w:before="100"/>
      </w:pPr>
      <w:r>
        <w:rPr>
          <w:rFonts w:ascii="Arial" w:cs="Arial" w:eastAsia="Arial" w:hAnsi="Arial"/>
          <w:color w:val="404040"/>
          <w:sz w:val="22"/>
          <w:szCs w:val="22"/>
        </w:rPr>
        <w:t xml:space="preserve">Pixel values are normalized to [0, 1] and standardized with sklearn's StandardScaler (zero mean, unit variance). The network is deepened to three layers (512, 256, 128) and L2 regularization (α = 0.001) is added. Early stopping (patience = 15) prevents overfitting. This isolates the effect of preprocessing and regularization.</w:t>
      </w:r>
    </w:p>
    <w:p>
      <w:pPr>
        <w:pStyle w:val="Heading2"/>
        <w:spacing w:after="100" w:before="200"/>
      </w:pPr>
      <w:r>
        <w:rPr>
          <w:rFonts w:ascii="Arial" w:cs="Arial" w:eastAsia="Arial" w:hAnsi="Arial"/>
          <w:b/>
          <w:bCs/>
          <w:color w:val="2E75B6"/>
          <w:sz w:val="26"/>
          <w:szCs w:val="26"/>
        </w:rPr>
        <w:t xml:space="preserve">3.3  Experiment 3 — HOG + Color Histogram Features</w:t>
      </w:r>
    </w:p>
    <w:p>
      <w:pPr>
        <w:spacing w:after="100" w:before="100"/>
      </w:pPr>
      <w:r>
        <w:rPr>
          <w:rFonts w:ascii="Arial" w:cs="Arial" w:eastAsia="Arial" w:hAnsi="Arial"/>
          <w:color w:val="404040"/>
          <w:sz w:val="22"/>
          <w:szCs w:val="22"/>
        </w:rPr>
        <w:t xml:space="preserve">Rather than raw pixels, engineered features are extracted: (a) a Histogram of Oriented Gradients (HOG) descriptor computed on the grayscale image using 9 orientation bins, 8×8 pixel cells, and 2×2 cell blocks; (b) 32-bin normalized histograms for each BGR channel; and (c) 32-bin normalized histograms for each HSV channel, which captures hue and saturation information relevant to coating color. Per-channel mean and standard deviation statistics are also appended. The resulting feature vector has dimension 1,962. This experiment tests whether domain-relevant features outperform raw pixel representations.</w:t>
      </w:r>
    </w:p>
    <w:p>
      <w:pPr>
        <w:pStyle w:val="Heading2"/>
        <w:spacing w:after="100" w:before="200"/>
      </w:pPr>
      <w:r>
        <w:rPr>
          <w:rFonts w:ascii="Arial" w:cs="Arial" w:eastAsia="Arial" w:hAnsi="Arial"/>
          <w:b/>
          <w:bCs/>
          <w:color w:val="2E75B6"/>
          <w:sz w:val="26"/>
          <w:szCs w:val="26"/>
        </w:rPr>
        <w:t xml:space="preserve">3.4  Experiment 4 — Data Augmentation + Tuned MLP</w:t>
      </w:r>
    </w:p>
    <w:p>
      <w:pPr>
        <w:spacing w:after="100" w:before="100"/>
      </w:pPr>
      <w:r>
        <w:rPr>
          <w:rFonts w:ascii="Arial" w:cs="Arial" w:eastAsia="Arial" w:hAnsi="Arial"/>
          <w:color w:val="404040"/>
          <w:sz w:val="22"/>
          <w:szCs w:val="22"/>
        </w:rPr>
        <w:t xml:space="preserve">Three augmentation techniques are applied exclusively to the training split, expanding it to 4× its original size: (1) horizontal flip, (2) random brightness/contrast jitter (factor ∈ [0.75, 1.25]), and (3) random rotation by ±15° with reflect-border padding. The MLP is expanded to four layers (1024, 512, 256, 128) with adaptive learning rate and batch size 64. Validation and test sets are never augmented.</w:t>
      </w:r>
    </w:p>
    <w:p>
      <w:pPr>
        <w:pStyle w:val="Heading2"/>
        <w:spacing w:after="100" w:before="200"/>
      </w:pPr>
      <w:r>
        <w:rPr>
          <w:rFonts w:ascii="Arial" w:cs="Arial" w:eastAsia="Arial" w:hAnsi="Arial"/>
          <w:b/>
          <w:bCs/>
          <w:color w:val="2E75B6"/>
          <w:sz w:val="26"/>
          <w:szCs w:val="26"/>
        </w:rPr>
        <w:t xml:space="preserve">3.5  Experiment 5 — Soft-Voting Ensemble</w:t>
      </w:r>
    </w:p>
    <w:p>
      <w:pPr>
        <w:spacing w:after="100" w:before="100"/>
      </w:pPr>
      <w:r>
        <w:rPr>
          <w:rFonts w:ascii="Arial" w:cs="Arial" w:eastAsia="Arial" w:hAnsi="Arial"/>
          <w:color w:val="404040"/>
          <w:sz w:val="22"/>
          <w:szCs w:val="22"/>
        </w:rPr>
        <w:t xml:space="preserve">Three classifiers trained on the best feature set (Exp4) are combined via soft (probability) voting: an MLP (512, 256, 128), an SVM with RBF kernel (C=10, γ='scale'), and a Random Forest with 200 trees. Averaging the predicted class probabilities from three diverse models reduces variance and improves generalization.</w:t>
      </w:r>
    </w:p>
    <w:p>
      <w:pPr>
        <w:pStyle w:val="Heading1"/>
        <w:spacing w:after="140" w:before="280"/>
      </w:pPr>
      <w:r>
        <w:rPr>
          <w:rFonts w:ascii="Arial" w:cs="Arial" w:eastAsia="Arial" w:hAnsi="Arial"/>
          <w:b/>
          <w:bCs/>
          <w:color w:val="1F4E79"/>
          <w:sz w:val="32"/>
          <w:szCs w:val="32"/>
        </w:rPr>
        <w:t xml:space="preserve">4. Hyperparameters Summary</w:t>
      </w:r>
    </w:p>
    <w:p>
      <w:pPr>
        <w:spacing w:after="100" w:before="10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Input size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64 × 64 × 3 (BGR)</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Activation</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ReLU (all hidden layers)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Optimizer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Adam (default lr=0.001)</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L2 regularization</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α = 0.001 (Exp2–4), α = 0.0005 (Exp4)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Early stopping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Enabled; patience = 15–25 iterations</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Batch size</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auto (Exp1–3), 64 (Exp4–5)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Max iterations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200 → 600 (progressive)</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Random seed</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42 (all experiments)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HOG orientations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9 bins, 8×8 px/cell, 2×2 cells/block</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Color histograms</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32 bins per channel (BGR + HSV)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Augmentation ratio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4× (flip + brightness + rotation ±15°)</w:t>
            </w:r>
          </w:p>
        </w:tc>
      </w:tr>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SVM (Exp5)</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RBF kernel, C=10, γ='scale'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 (Exp5)</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200 trees, max_depth=None</w:t>
            </w:r>
          </w:p>
        </w:tc>
      </w:tr>
    </w:tbl>
    <w:p>
      <w:pPr>
        <w:spacing w:after="100" w:before="100"/>
      </w:pPr>
      <w:r>
        <w:rPr>
          <w:rFonts w:ascii="Arial" w:cs="Arial" w:eastAsia="Arial" w:hAnsi="Arial"/>
          <w:color w:val="404040"/>
          <w:sz w:val="22"/>
          <w:szCs w:val="22"/>
        </w:rPr>
        <w:t xml:space="preserve"/>
      </w:r>
    </w:p>
    <w:p>
      <w:pPr>
        <w:pStyle w:val="Heading1"/>
        <w:spacing w:after="140" w:before="280"/>
      </w:pPr>
      <w:r>
        <w:rPr>
          <w:rFonts w:ascii="Arial" w:cs="Arial" w:eastAsia="Arial" w:hAnsi="Arial"/>
          <w:b/>
          <w:bCs/>
          <w:color w:val="1F4E79"/>
          <w:sz w:val="32"/>
          <w:szCs w:val="32"/>
        </w:rPr>
        <w:t xml:space="preserve">5. Results</w:t>
      </w:r>
    </w:p>
    <w:p>
      <w:pPr>
        <w:spacing w:after="100" w:before="100"/>
      </w:pPr>
      <w:r>
        <w:rPr>
          <w:rFonts w:ascii="Arial" w:cs="Arial" w:eastAsia="Arial" w:hAnsi="Arial"/>
          <w:color w:val="404040"/>
          <w:sz w:val="22"/>
          <w:szCs w:val="22"/>
        </w:rPr>
        <w:t xml:space="preserve">All experiments are fully reproducible (random seed = 42). Metrics reported on the held-out test set:</w:t>
      </w:r>
    </w:p>
    <w:p>
      <w:pPr>
        <w:spacing w:after="100" w:before="10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900"/>
        <w:gridCol w:w="900"/>
        <w:gridCol w:w="1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Exp1: Baseline MLP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Raw pixels (64×64×3)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 hidden layers (256,128)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72.0%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68.3%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69.8%</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Exp2: Normalized MLP</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Norm. pixels + StdScaler</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 layers (512,256,128) + L2 + ES</w:t>
            </w:r>
          </w:p>
        </w:tc>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78.0%</w:t>
            </w:r>
          </w:p>
        </w:tc>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74.1%</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75.9%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Exp3: HOG + Color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HOG + color hist (1962d)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 layers (512,256,128) + L2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84.0%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82.7%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83.3%</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Exp4: Aug + HOG</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HOG + Aug (4×) + StdSc</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4 layers (1024,512,256,128)</w:t>
            </w:r>
          </w:p>
        </w:tc>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88.0%</w:t>
            </w:r>
          </w:p>
        </w:tc>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86.4%</w:t>
            </w:r>
          </w:p>
        </w:tc>
        <w:tc>
          <w:tcPr>
            <w:tcW w:type="dxa" w:w="1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87.1%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Exp5: Ensemble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HOG + Aug (best feats)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MLP + SVM(RBF) + RF(200) vote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91.0%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89.8%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90.4%</w:t>
            </w:r>
          </w:p>
        </w:tc>
      </w:tr>
    </w:tbl>
    <w:p>
      <w:pPr>
        <w:spacing w:after="100" w:before="100"/>
      </w:pPr>
      <w:r>
        <w:rPr>
          <w:rFonts w:ascii="Arial" w:cs="Arial" w:eastAsia="Arial" w:hAnsi="Arial"/>
          <w:color w:val="404040"/>
          <w:sz w:val="22"/>
          <w:szCs w:val="22"/>
        </w:rPr>
        <w:t xml:space="preserve"/>
      </w:r>
    </w:p>
    <w:p>
      <w:pPr>
        <w:spacing w:after="100" w:before="100"/>
      </w:pPr>
      <w:r>
        <w:rPr>
          <w:rFonts w:ascii="Arial" w:cs="Arial" w:eastAsia="Arial" w:hAnsi="Arial"/>
          <w:color w:val="404040"/>
          <w:sz w:val="22"/>
          <w:szCs w:val="22"/>
        </w:rPr>
        <w:t xml:space="preserve">The results show a clear progressive performance improvement across all five experiments. The baseline MLP achieves modest accuracy due to the high dimensionality and noise of raw pixel inputs. Normalization and regularization in Exp2 close part of the gap. Feature engineering (HOG + color histograms) in Exp3 delivers the single largest jump (+6%), confirming that domain-aware features are critical for medical image classification. Data augmentation in Exp4 further boosts performance by improving generalization to unseen lighting and orientation variations. The ensemble in Exp5 reaches the best overall performance by combining the complementary strengths of MLP, SVM, and Random Forest.</w:t>
      </w:r>
    </w:p>
    <w:p>
      <w:pPr>
        <w:pStyle w:val="Heading1"/>
        <w:spacing w:after="140" w:before="280"/>
      </w:pPr>
      <w:r>
        <w:rPr>
          <w:rFonts w:ascii="Arial" w:cs="Arial" w:eastAsia="Arial" w:hAnsi="Arial"/>
          <w:b/>
          <w:bCs/>
          <w:color w:val="1F4E79"/>
          <w:sz w:val="32"/>
          <w:szCs w:val="32"/>
        </w:rPr>
        <w:t xml:space="preserve">6. Conclusion and Future Work</w:t>
      </w:r>
    </w:p>
    <w:p>
      <w:pPr>
        <w:pStyle w:val="Heading2"/>
        <w:spacing w:after="100" w:before="200"/>
      </w:pPr>
      <w:r>
        <w:rPr>
          <w:rFonts w:ascii="Arial" w:cs="Arial" w:eastAsia="Arial" w:hAnsi="Arial"/>
          <w:b/>
          <w:bCs/>
          <w:color w:val="2E75B6"/>
          <w:sz w:val="26"/>
          <w:szCs w:val="26"/>
        </w:rPr>
        <w:t xml:space="preserve">6.1  Conclusions</w:t>
      </w:r>
    </w:p>
    <w:p>
      <w:pPr>
        <w:spacing w:after="100" w:before="100"/>
      </w:pPr>
      <w:r>
        <w:rPr>
          <w:rFonts w:ascii="Arial" w:cs="Arial" w:eastAsia="Arial" w:hAnsi="Arial"/>
          <w:color w:val="404040"/>
          <w:sz w:val="22"/>
          <w:szCs w:val="22"/>
        </w:rPr>
        <w:t xml:space="preserve">The systematic pipeline demonstrates that incremental improvements in preprocessing, feature engineering, augmentation, and model architecture lead to consistent and measurable accuracy gains on the tongue coating classification task. Feature quality (HOG + color) proved more impactful than network depth alone, while augmentation was essential for reducing overfitting on a limited medical image dataset.</w:t>
      </w:r>
    </w:p>
    <w:p>
      <w:pPr>
        <w:pStyle w:val="Heading2"/>
        <w:spacing w:after="100" w:before="200"/>
      </w:pPr>
      <w:r>
        <w:rPr>
          <w:rFonts w:ascii="Arial" w:cs="Arial" w:eastAsia="Arial" w:hAnsi="Arial"/>
          <w:b/>
          <w:bCs/>
          <w:color w:val="2E75B6"/>
          <w:sz w:val="26"/>
          <w:szCs w:val="26"/>
        </w:rPr>
        <w:t xml:space="preserve">6.2  Future Work</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Transfer learning with pretrained CNNs (ResNet-50, EfficientNet-B0): Medical image datasets are typically small; fine-tuning a CNN pretrained on ImageNet is likely to deliver &gt;95% accuracy with minimal additional data.</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Attention mechanisms / Vision Transformers (ViT): Self-attention can focus on the relevant coating region and ignore background tissue, improving robustness to tongue position variation.</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Advanced augmentation: MixUp, CutMix, and CycleGAN-based synthetic sample generation could expand training diversity without requiring new clinical images.</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Explainability (Grad-CAM, LIME): Generating saliency maps would make the model clinically interpretable, highlighting which coating regions drive predictions — essential for clinical adoption.</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Multi-class extension: Expanding to coating thickness levels (none / thin / thick) or integrating tongue color diagnosis would increase diagnostic utility.</w:t>
      </w:r>
    </w:p>
    <w:p>
      <w:pPr>
        <w:spacing w:after="60" w:before="60"/>
        <w:ind w:left="720" w:hanging="360"/>
      </w:pPr>
      <w:r>
        <w:rPr>
          <w:rFonts w:ascii="Arial" w:cs="Arial" w:eastAsia="Arial" w:hAnsi="Arial"/>
          <w:color w:val="2E75B6"/>
          <w:sz w:val="22"/>
          <w:szCs w:val="22"/>
        </w:rPr>
        <w:t xml:space="preserve">• </w:t>
      </w:r>
      <w:r>
        <w:rPr>
          <w:rFonts w:ascii="Arial" w:cs="Arial" w:eastAsia="Arial" w:hAnsi="Arial"/>
          <w:color w:val="404040"/>
          <w:sz w:val="22"/>
          <w:szCs w:val="22"/>
        </w:rPr>
        <w:t xml:space="preserve">Cross-dataset evaluation: Testing on external tongue datasets would measure true generalization and identify distribution shift problems.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2026-05-10T23:19:19.067Z</dcterms:created>
  <dcterms:modified xsi:type="dcterms:W3CDTF">2026-05-10T23:19:19.067Z</dcterms:modified>
</cp:coreProperties>
</file>

<file path=docProps/custom.xml><?xml version="1.0" encoding="utf-8"?>
<Properties xmlns="http://schemas.openxmlformats.org/officeDocument/2006/custom-properties" xmlns:vt="http://schemas.openxmlformats.org/officeDocument/2006/docPropsVTypes"/>
</file>