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both"/>
        <w:rPr/>
      </w:pPr>
      <w:r>
        <w:rPr>
          <w:rFonts w:eastAsia="Arial" w:cs="Arial"/>
          <w:b/>
          <w:bCs/>
          <w:color w:val="1C3557"/>
          <w:sz w:val="36"/>
          <w:szCs w:val="36"/>
        </w:rPr>
        <w:t>Binding Site Detection — Nav1.5 N347K (Static PDB)</w:t>
      </w:r>
    </w:p>
    <w:p>
      <w:pPr>
        <w:pStyle w:val="Normal"/>
        <w:spacing w:before="0" w:after="60"/>
        <w:jc w:val="both"/>
        <w:rPr/>
      </w:pPr>
      <w:r>
        <w:rPr>
          <w:rFonts w:eastAsia="Arial" w:cs="Arial"/>
          <w:color w:val="666666"/>
          <w:sz w:val="24"/>
          <w:szCs w:val="24"/>
        </w:rPr>
        <w:t>fpocket Analysis on Crystallographic Structure (8VYK + in silico N347K mutagenesis)</w:t>
      </w:r>
    </w:p>
    <w:p>
      <w:pPr>
        <w:pStyle w:val="Normal"/>
        <w:spacing w:before="0" w:after="60"/>
        <w:jc w:val="both"/>
        <w:rPr/>
      </w:pPr>
      <w:r>
        <w:rPr>
          <w:rFonts w:eastAsia="Arial" w:cs="Arial"/>
          <w:color w:val="888888"/>
          <w:sz w:val="20"/>
          <w:szCs w:val="20"/>
        </w:rPr>
        <w:t>Yağmur Yeşilyurt | SIS2E PhD Fellow | UniBicocca | June 2026</w:t>
      </w:r>
    </w:p>
    <w:p>
      <w:pPr>
        <w:pStyle w:val="Normal"/>
        <w:pBdr>
          <w:bottom w:val="single" w:sz="6" w:space="1" w:color="1C3557"/>
        </w:pBdr>
        <w:spacing w:before="0" w:after="200"/>
        <w:jc w:val="both"/>
        <w:rPr/>
      </w:pPr>
      <w:r>
        <w:rPr/>
      </w:r>
    </w:p>
    <w:p>
      <w:pPr>
        <w:pStyle w:val="Heading1"/>
        <w:pBdr>
          <w:bottom w:val="single" w:sz="4" w:space="1" w:color="1C3557"/>
        </w:pBdr>
        <w:spacing w:before="280" w:after="120"/>
        <w:jc w:val="both"/>
        <w:rPr/>
      </w:pPr>
      <w:r>
        <w:rPr>
          <w:rFonts w:eastAsia="Arial" w:cs="Arial" w:ascii="Arial" w:hAnsi="Arial"/>
          <w:b/>
          <w:bCs/>
          <w:color w:val="1C3557"/>
          <w:sz w:val="28"/>
          <w:szCs w:val="28"/>
        </w:rPr>
        <w:t>Method</w:t>
      </w:r>
    </w:p>
    <w:p>
      <w:pPr>
        <w:pStyle w:val="Normal"/>
        <w:spacing w:before="80" w:after="80"/>
        <w:jc w:val="both"/>
        <w:rPr/>
      </w:pPr>
      <w:r>
        <w:rPr>
          <w:rFonts w:eastAsia="Arial" w:cs="Arial"/>
          <w:sz w:val="22"/>
          <w:szCs w:val="22"/>
        </w:rPr>
        <w:t>fpocket (v4.0, Discngine) was run on the N347K static receptor structure (receptor_n347k_CLEAN.pdb), prepared from PDB 8VYK by in silico mutagenesis of N347 to K347 using PyMOL. This structure represents the crystallographic conformation of Nav1.5 with the N347K substitution but without the conformational dynamics captured by MD simulation. A total of 155 pockets were detected.</w:t>
      </w:r>
    </w:p>
    <w:p>
      <w:pPr>
        <w:pStyle w:val="Heading1"/>
        <w:pBdr>
          <w:bottom w:val="single" w:sz="4" w:space="1" w:color="1C3557"/>
        </w:pBdr>
        <w:spacing w:before="280" w:after="120"/>
        <w:jc w:val="both"/>
        <w:rPr/>
      </w:pPr>
      <w:r>
        <w:rPr>
          <w:rFonts w:eastAsia="Arial" w:cs="Arial" w:ascii="Arial" w:hAnsi="Arial"/>
          <w:b/>
          <w:bCs/>
          <w:color w:val="1C3557"/>
          <w:sz w:val="28"/>
          <w:szCs w:val="28"/>
        </w:rPr>
        <w:t>Results</w:t>
      </w:r>
    </w:p>
    <w:p>
      <w:pPr>
        <w:pStyle w:val="Heading2"/>
        <w:spacing w:before="200" w:after="80"/>
        <w:jc w:val="both"/>
        <w:rPr/>
      </w:pPr>
      <w:r>
        <w:rPr>
          <w:rFonts w:eastAsia="Arial" w:cs="Arial" w:ascii="Arial" w:hAnsi="Arial"/>
          <w:b/>
          <w:bCs/>
          <w:color w:val="2E6DA4"/>
          <w:sz w:val="24"/>
          <w:szCs w:val="24"/>
        </w:rPr>
        <w:t>Overview — Top Druggable Pockets</w:t>
      </w:r>
    </w:p>
    <w:p>
      <w:pPr>
        <w:pStyle w:val="Normal"/>
        <w:spacing w:before="120" w:after="80"/>
        <w:jc w:val="both"/>
        <w:rPr/>
      </w:pPr>
      <w:r>
        <w:rPr/>
      </w:r>
    </w:p>
    <w:tbl>
      <w:tblPr>
        <w:tblW w:w="9026" w:type="dxa"/>
        <w:jc w:val="left"/>
        <w:tblInd w:w="0" w:type="dxa"/>
        <w:tblLayout w:type="fixed"/>
        <w:tblCellMar>
          <w:top w:w="80" w:type="dxa"/>
          <w:left w:w="120" w:type="dxa"/>
          <w:bottom w:w="80" w:type="dxa"/>
          <w:right w:w="120" w:type="dxa"/>
        </w:tblCellMar>
      </w:tblPr>
      <w:tblGrid>
        <w:gridCol w:w="1199"/>
        <w:gridCol w:w="1500"/>
        <w:gridCol w:w="1500"/>
        <w:gridCol w:w="1800"/>
        <w:gridCol w:w="3027"/>
      </w:tblGrid>
      <w:tr>
        <w:trPr>
          <w:tblHeader w:val="true"/>
        </w:trPr>
        <w:tc>
          <w:tcPr>
            <w:tcW w:w="1199"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Pocket</w:t>
            </w:r>
          </w:p>
        </w:tc>
        <w:tc>
          <w:tcPr>
            <w:tcW w:w="1500"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Score</w:t>
            </w:r>
          </w:p>
        </w:tc>
        <w:tc>
          <w:tcPr>
            <w:tcW w:w="1500"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Druggability</w:t>
            </w:r>
          </w:p>
        </w:tc>
        <w:tc>
          <w:tcPr>
            <w:tcW w:w="1800"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Volume (Å³)</w:t>
            </w:r>
          </w:p>
        </w:tc>
        <w:tc>
          <w:tcPr>
            <w:tcW w:w="3027"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Location</w:t>
            </w:r>
          </w:p>
        </w:tc>
      </w:tr>
      <w:tr>
        <w:trPr/>
        <w:tc>
          <w:tcPr>
            <w:tcW w:w="1199"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bCs/>
                <w:color w:val="000000"/>
                <w:sz w:val="18"/>
                <w:szCs w:val="18"/>
              </w:rPr>
              <w:t>30</w:t>
            </w:r>
          </w:p>
        </w:tc>
        <w:tc>
          <w:tcPr>
            <w:tcW w:w="15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0.046</w:t>
            </w:r>
          </w:p>
        </w:tc>
        <w:tc>
          <w:tcPr>
            <w:tcW w:w="15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bCs/>
                <w:color w:val="000000"/>
                <w:sz w:val="18"/>
                <w:szCs w:val="18"/>
              </w:rPr>
              <w:t>0.975 ★</w:t>
            </w:r>
          </w:p>
        </w:tc>
        <w:tc>
          <w:tcPr>
            <w:tcW w:w="18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846</w:t>
            </w:r>
          </w:p>
        </w:tc>
        <w:tc>
          <w:tcPr>
            <w:tcW w:w="3027"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Domain III/IV inner helix (S6 lining)</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bCs/>
                <w:color w:val="000000"/>
                <w:sz w:val="18"/>
                <w:szCs w:val="18"/>
              </w:rPr>
              <w:t>33</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0.037</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0.956</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695</w:t>
            </w:r>
          </w:p>
        </w:tc>
        <w:tc>
          <w:tcPr>
            <w:tcW w:w="30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Domain II S5-S6</w:t>
            </w:r>
          </w:p>
        </w:tc>
      </w:tr>
      <w:tr>
        <w:trPr/>
        <w:tc>
          <w:tcPr>
            <w:tcW w:w="1199"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bCs/>
                <w:color w:val="000000"/>
                <w:sz w:val="18"/>
                <w:szCs w:val="18"/>
              </w:rPr>
              <w:t>144</w:t>
            </w:r>
          </w:p>
        </w:tc>
        <w:tc>
          <w:tcPr>
            <w:tcW w:w="15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w:t>
            </w:r>
            <w:r>
              <w:rPr>
                <w:rFonts w:eastAsia="Arial" w:cs="Arial"/>
                <w:b w:val="false"/>
                <w:bCs w:val="false"/>
                <w:color w:val="000000"/>
                <w:sz w:val="18"/>
                <w:szCs w:val="18"/>
              </w:rPr>
              <w:t>0.158</w:t>
            </w:r>
          </w:p>
        </w:tc>
        <w:tc>
          <w:tcPr>
            <w:tcW w:w="15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0.914</w:t>
            </w:r>
          </w:p>
        </w:tc>
        <w:tc>
          <w:tcPr>
            <w:tcW w:w="18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792</w:t>
            </w:r>
          </w:p>
        </w:tc>
        <w:tc>
          <w:tcPr>
            <w:tcW w:w="3027"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Membrane-facing region</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bCs/>
                <w:color w:val="000000"/>
                <w:sz w:val="18"/>
                <w:szCs w:val="18"/>
              </w:rPr>
              <w:t>1</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0.258</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0.883</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568</w:t>
            </w:r>
          </w:p>
        </w:tc>
        <w:tc>
          <w:tcPr>
            <w:tcW w:w="30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Domain I S5-S6 + Domain III/IV junction</w:t>
            </w:r>
          </w:p>
        </w:tc>
      </w:tr>
      <w:tr>
        <w:trPr/>
        <w:tc>
          <w:tcPr>
            <w:tcW w:w="1199"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bCs/>
                <w:color w:val="000000"/>
                <w:sz w:val="18"/>
                <w:szCs w:val="18"/>
              </w:rPr>
              <w:t>75</w:t>
            </w:r>
          </w:p>
        </w:tc>
        <w:tc>
          <w:tcPr>
            <w:tcW w:w="15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w:t>
            </w:r>
            <w:r>
              <w:rPr>
                <w:rFonts w:eastAsia="Arial" w:cs="Arial"/>
                <w:b w:val="false"/>
                <w:bCs w:val="false"/>
                <w:color w:val="000000"/>
                <w:sz w:val="18"/>
                <w:szCs w:val="18"/>
              </w:rPr>
              <w:t>0.041</w:t>
            </w:r>
          </w:p>
        </w:tc>
        <w:tc>
          <w:tcPr>
            <w:tcW w:w="15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0.865</w:t>
            </w:r>
          </w:p>
        </w:tc>
        <w:tc>
          <w:tcPr>
            <w:tcW w:w="18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671</w:t>
            </w:r>
          </w:p>
        </w:tc>
        <w:tc>
          <w:tcPr>
            <w:tcW w:w="3027"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Membrane-facing region</w:t>
            </w:r>
          </w:p>
        </w:tc>
      </w:tr>
    </w:tbl>
    <w:p>
      <w:pPr>
        <w:pStyle w:val="Normal"/>
        <w:spacing w:before="60" w:after="120"/>
        <w:jc w:val="both"/>
        <w:rPr/>
      </w:pPr>
      <w:r>
        <w:rPr>
          <w:rFonts w:eastAsia="Arial" w:cs="Arial"/>
          <w:color w:val="666666"/>
          <w:sz w:val="18"/>
          <w:szCs w:val="18"/>
        </w:rPr>
        <w:t>Table 1. Top 5 druggable pockets in N347K static PDB.</w:t>
      </w:r>
    </w:p>
    <w:p>
      <w:pPr>
        <w:pStyle w:val="Heading2"/>
        <w:spacing w:before="200" w:after="80"/>
        <w:jc w:val="both"/>
        <w:rPr/>
      </w:pPr>
      <w:r>
        <w:rPr>
          <w:rFonts w:eastAsia="Arial" w:cs="Arial" w:ascii="Arial" w:hAnsi="Arial"/>
          <w:b/>
          <w:bCs/>
          <w:color w:val="2E6DA4"/>
          <w:sz w:val="24"/>
          <w:szCs w:val="24"/>
        </w:rPr>
        <w:t>Pocket 30 — Domain III/IV Inner Helix (Druggability 0.975)</w:t>
      </w:r>
    </w:p>
    <w:p>
      <w:pPr>
        <w:pStyle w:val="Normal"/>
        <w:spacing w:before="80" w:after="80"/>
        <w:jc w:val="both"/>
        <w:rPr/>
      </w:pPr>
      <w:r>
        <w:rPr>
          <w:rFonts w:eastAsia="Arial" w:cs="Arial"/>
          <w:sz w:val="22"/>
          <w:szCs w:val="22"/>
        </w:rPr>
        <w:t>Pocket 30 is the most druggable cavity in the N347K static structure. Key residues:</w:t>
      </w:r>
    </w:p>
    <w:p>
      <w:pPr>
        <w:pStyle w:val="ListParagraph"/>
        <w:numPr>
          <w:ilvl w:val="0"/>
          <w:numId w:val="3"/>
        </w:numPr>
        <w:spacing w:before="60" w:after="60"/>
        <w:jc w:val="both"/>
        <w:rPr/>
      </w:pPr>
      <w:r>
        <w:rPr>
          <w:rFonts w:eastAsia="Arial" w:cs="Arial"/>
          <w:sz w:val="22"/>
          <w:szCs w:val="22"/>
        </w:rPr>
        <w:t>ILE1758, LEU1761, ILE1762, ILE1768, ASN1765 (Domain IV inner helix S6)</w:t>
      </w:r>
    </w:p>
    <w:p>
      <w:pPr>
        <w:pStyle w:val="ListParagraph"/>
        <w:numPr>
          <w:ilvl w:val="0"/>
          <w:numId w:val="1"/>
        </w:numPr>
        <w:spacing w:before="60" w:after="60"/>
        <w:jc w:val="both"/>
        <w:rPr/>
      </w:pPr>
      <w:r>
        <w:rPr>
          <w:rFonts w:eastAsia="Arial" w:cs="Arial"/>
          <w:sz w:val="22"/>
          <w:szCs w:val="22"/>
        </w:rPr>
        <w:t>ILE1660, LEU1663, VAL1667 (Domain III-IV linker region)</w:t>
      </w:r>
    </w:p>
    <w:p>
      <w:pPr>
        <w:pStyle w:val="ListParagraph"/>
        <w:numPr>
          <w:ilvl w:val="0"/>
          <w:numId w:val="1"/>
        </w:numPr>
        <w:spacing w:before="60" w:after="60"/>
        <w:jc w:val="both"/>
        <w:rPr/>
      </w:pPr>
      <w:r>
        <w:rPr>
          <w:rFonts w:eastAsia="Arial" w:cs="Arial"/>
          <w:sz w:val="22"/>
          <w:szCs w:val="22"/>
        </w:rPr>
        <w:t>ILE1469, ILE1470, ILE1485, PHE1473, PHE1486, GLN1476 (Domain III S6)</w:t>
      </w:r>
    </w:p>
    <w:p>
      <w:pPr>
        <w:pStyle w:val="ListParagraph"/>
        <w:numPr>
          <w:ilvl w:val="0"/>
          <w:numId w:val="1"/>
        </w:numPr>
        <w:spacing w:before="60" w:after="60"/>
        <w:jc w:val="both"/>
        <w:rPr/>
      </w:pPr>
      <w:r>
        <w:rPr>
          <w:rFonts w:eastAsia="Arial" w:cs="Arial"/>
          <w:sz w:val="22"/>
          <w:szCs w:val="22"/>
        </w:rPr>
        <w:t>ALA1326, LEU1327, ALA1330, ILE1331, ILE1334, VAL1323 (Domain I S6)</w:t>
      </w:r>
    </w:p>
    <w:p>
      <w:pPr>
        <w:pStyle w:val="Normal"/>
        <w:spacing w:before="80" w:after="80"/>
        <w:jc w:val="both"/>
        <w:rPr/>
      </w:pPr>
      <w:r>
        <w:rPr>
          <w:rFonts w:eastAsia="Arial" w:cs="Arial"/>
          <w:sz w:val="22"/>
          <w:szCs w:val="22"/>
        </w:rPr>
        <w:t>Critically, PHE1760 — the key phenylalanine residue defining the classical local anaesthetic binding site — is absent from this pocket. This contrasts with the apoMutant MD representative frame, where Pocket 2 (druggability 0.970) explicitly contained PHE1760. This difference highlights the importance of using MD-derived conformations for binding site analysis rather than static crystallographic structures.</w:t>
      </w:r>
    </w:p>
    <w:p>
      <w:pPr>
        <w:pStyle w:val="Heading2"/>
        <w:spacing w:before="200" w:after="80"/>
        <w:jc w:val="both"/>
        <w:rPr/>
      </w:pPr>
      <w:r>
        <w:rPr>
          <w:rFonts w:eastAsia="Arial" w:cs="Arial" w:ascii="Arial" w:hAnsi="Arial"/>
          <w:b/>
          <w:bCs/>
          <w:color w:val="2E6DA4"/>
          <w:sz w:val="24"/>
          <w:szCs w:val="24"/>
        </w:rPr>
        <w:t>Pocket 1 — Domain I S5-S6 / Domain III-IV Junction (Druggability 0.883)</w:t>
      </w:r>
    </w:p>
    <w:p>
      <w:pPr>
        <w:pStyle w:val="Normal"/>
        <w:spacing w:before="80" w:after="80"/>
        <w:jc w:val="both"/>
        <w:rPr/>
      </w:pPr>
      <w:r>
        <w:rPr>
          <w:rFonts w:eastAsia="Arial" w:cs="Arial"/>
          <w:sz w:val="22"/>
          <w:szCs w:val="22"/>
        </w:rPr>
        <w:t>Pocket 1 contains residues from Domain I S5-S6 and overlaps with the Domain III/IV junction region:</w:t>
      </w:r>
    </w:p>
    <w:p>
      <w:pPr>
        <w:pStyle w:val="ListParagraph"/>
        <w:numPr>
          <w:ilvl w:val="0"/>
          <w:numId w:val="1"/>
        </w:numPr>
        <w:spacing w:before="60" w:after="60"/>
        <w:jc w:val="both"/>
        <w:rPr/>
      </w:pPr>
      <w:r>
        <w:rPr>
          <w:rFonts w:eastAsia="Arial" w:cs="Arial"/>
          <w:sz w:val="22"/>
          <w:szCs w:val="22"/>
        </w:rPr>
        <w:t>PHE259, PHE264, CYS260, LEU256, LEU261, VAL263 (Domain I S5-S6)</w:t>
      </w:r>
    </w:p>
    <w:p>
      <w:pPr>
        <w:pStyle w:val="ListParagraph"/>
        <w:numPr>
          <w:ilvl w:val="0"/>
          <w:numId w:val="1"/>
        </w:numPr>
        <w:spacing w:before="60" w:after="60"/>
        <w:jc w:val="both"/>
        <w:rPr/>
      </w:pPr>
      <w:r>
        <w:rPr>
          <w:rFonts w:eastAsia="Arial" w:cs="Arial"/>
          <w:sz w:val="22"/>
          <w:szCs w:val="22"/>
        </w:rPr>
        <w:t>LEU365, LEU368, MET369, LEU399, LEU404, TYR403, VAL396, GLY400 (Domain I S6 + linker)</w:t>
      </w:r>
    </w:p>
    <w:p>
      <w:pPr>
        <w:pStyle w:val="ListParagraph"/>
        <w:numPr>
          <w:ilvl w:val="0"/>
          <w:numId w:val="1"/>
        </w:numPr>
        <w:spacing w:before="60" w:after="60"/>
        <w:jc w:val="both"/>
        <w:rPr/>
      </w:pPr>
      <w:r>
        <w:rPr>
          <w:rFonts w:eastAsia="Arial" w:cs="Arial"/>
          <w:sz w:val="22"/>
          <w:szCs w:val="22"/>
        </w:rPr>
        <w:t>ILE1630, GLY1631, ILE1633, ILE1637, LEU1634, LEU1647, LEU1650 (Domain III S6)</w:t>
      </w:r>
    </w:p>
    <w:p>
      <w:pPr>
        <w:pStyle w:val="Normal"/>
        <w:spacing w:before="80" w:after="80"/>
        <w:jc w:val="both"/>
        <w:rPr/>
      </w:pPr>
      <w:r>
        <w:rPr>
          <w:rFonts w:eastAsia="Arial" w:cs="Arial"/>
          <w:sz w:val="22"/>
          <w:szCs w:val="22"/>
        </w:rPr>
        <w:t>This pocket overlaps with Pocket 13 of the apoMutant MD analysis and is consistent with the Domain III/IV fenestration binding site described in the literature (Tikhonov &amp; Zhorov, 2022).</w:t>
      </w:r>
    </w:p>
    <w:p>
      <w:pPr>
        <w:pStyle w:val="Heading1"/>
        <w:pBdr>
          <w:bottom w:val="single" w:sz="4" w:space="1" w:color="1C3557"/>
        </w:pBdr>
        <w:spacing w:before="280" w:after="120"/>
        <w:jc w:val="both"/>
        <w:rPr/>
      </w:pPr>
      <w:r>
        <w:rPr>
          <w:rFonts w:eastAsia="Arial" w:cs="Arial" w:ascii="Arial" w:hAnsi="Arial"/>
          <w:b/>
          <w:bCs/>
          <w:color w:val="1C3557"/>
          <w:sz w:val="28"/>
          <w:szCs w:val="28"/>
        </w:rPr>
        <w:t>Key Finding — Absence of PHE1760 in Static Structure</w:t>
      </w:r>
    </w:p>
    <w:p>
      <w:pPr>
        <w:pStyle w:val="Normal"/>
        <w:spacing w:before="80" w:after="80"/>
        <w:jc w:val="both"/>
        <w:rPr/>
      </w:pPr>
      <w:r>
        <w:rPr>
          <w:rFonts w:eastAsia="Arial" w:cs="Arial"/>
          <w:sz w:val="22"/>
          <w:szCs w:val="22"/>
        </w:rPr>
        <w:t>The most important observation from this analysis is the absence of PHE1760 from the top-ranked pocket in the N347K static PDB. In contrast:</w:t>
      </w:r>
    </w:p>
    <w:p>
      <w:pPr>
        <w:pStyle w:val="ListParagraph"/>
        <w:numPr>
          <w:ilvl w:val="0"/>
          <w:numId w:val="1"/>
        </w:numPr>
        <w:spacing w:before="60" w:after="60"/>
        <w:jc w:val="both"/>
        <w:rPr/>
      </w:pPr>
      <w:r>
        <w:rPr>
          <w:rFonts w:eastAsia="Arial" w:cs="Arial"/>
          <w:sz w:val="22"/>
          <w:szCs w:val="22"/>
        </w:rPr>
        <w:t>apoMutant MD rep (500 ns): Pocket 2 (druggability 0.970) explicitly contains PHE1760, TYR1409, and other classical LA residues.</w:t>
      </w:r>
    </w:p>
    <w:p>
      <w:pPr>
        <w:pStyle w:val="ListParagraph"/>
        <w:numPr>
          <w:ilvl w:val="0"/>
          <w:numId w:val="1"/>
        </w:numPr>
        <w:spacing w:before="60" w:after="60"/>
        <w:jc w:val="both"/>
        <w:rPr/>
      </w:pPr>
      <w:r>
        <w:rPr>
          <w:rFonts w:eastAsia="Arial" w:cs="Arial"/>
          <w:sz w:val="22"/>
          <w:szCs w:val="22"/>
        </w:rPr>
        <w:t>holoMutant MD rep (ligand removed): Pocket 21 (druggability 1.000) contains PHE1760 and TYR1767.</w:t>
      </w:r>
    </w:p>
    <w:p>
      <w:pPr>
        <w:pStyle w:val="ListParagraph"/>
        <w:numPr>
          <w:ilvl w:val="0"/>
          <w:numId w:val="1"/>
        </w:numPr>
        <w:spacing w:before="60" w:after="60"/>
        <w:jc w:val="both"/>
        <w:rPr/>
      </w:pPr>
      <w:r>
        <w:rPr>
          <w:rFonts w:eastAsia="Arial" w:cs="Arial"/>
          <w:sz w:val="22"/>
          <w:szCs w:val="22"/>
        </w:rPr>
        <w:t>N347K static PDB: PHE1760 is NOT in the top-ranked pocket — instead Domain III/IV inner helix residues dominate.</w:t>
      </w:r>
    </w:p>
    <w:p>
      <w:pPr>
        <w:pStyle w:val="Normal"/>
        <w:spacing w:before="80" w:after="80"/>
        <w:jc w:val="both"/>
        <w:rPr/>
      </w:pPr>
      <w:r>
        <w:rPr>
          <w:rFonts w:eastAsia="Arial" w:cs="Arial"/>
          <w:sz w:val="22"/>
          <w:szCs w:val="22"/>
        </w:rPr>
        <w:t>This suggests that the PHE1760-containing pocket only opens to full druggability after the protein undergoes conformational relaxation during MD simulation. The crystallographic conformation may not represent the optimal drug-binding state, emphasising the value of MD-based pocket detection for this system.</w:t>
      </w:r>
    </w:p>
    <w:p>
      <w:pPr>
        <w:pStyle w:val="Heading1"/>
        <w:pBdr>
          <w:bottom w:val="single" w:sz="4" w:space="1" w:color="1C3557"/>
        </w:pBdr>
        <w:spacing w:before="280" w:after="120"/>
        <w:jc w:val="both"/>
        <w:rPr/>
      </w:pPr>
      <w:r>
        <w:rPr>
          <w:rFonts w:eastAsia="Arial" w:cs="Arial" w:ascii="Arial" w:hAnsi="Arial"/>
          <w:b/>
          <w:bCs/>
          <w:color w:val="1C3557"/>
          <w:sz w:val="28"/>
          <w:szCs w:val="28"/>
        </w:rPr>
        <w:t>Comparison Across Structures</w:t>
      </w:r>
    </w:p>
    <w:p>
      <w:pPr>
        <w:pStyle w:val="Normal"/>
        <w:spacing w:before="80" w:after="80"/>
        <w:jc w:val="both"/>
        <w:rPr/>
      </w:pPr>
      <w:r>
        <w:rPr/>
      </w:r>
    </w:p>
    <w:tbl>
      <w:tblPr>
        <w:tblW w:w="9026" w:type="dxa"/>
        <w:jc w:val="left"/>
        <w:tblInd w:w="0" w:type="dxa"/>
        <w:tblLayout w:type="fixed"/>
        <w:tblCellMar>
          <w:top w:w="80" w:type="dxa"/>
          <w:left w:w="120" w:type="dxa"/>
          <w:bottom w:w="80" w:type="dxa"/>
          <w:right w:w="120" w:type="dxa"/>
        </w:tblCellMar>
      </w:tblPr>
      <w:tblGrid>
        <w:gridCol w:w="2799"/>
        <w:gridCol w:w="1564"/>
        <w:gridCol w:w="1562"/>
        <w:gridCol w:w="1500"/>
        <w:gridCol w:w="1601"/>
      </w:tblGrid>
      <w:tr>
        <w:trPr>
          <w:tblHeader w:val="true"/>
        </w:trPr>
        <w:tc>
          <w:tcPr>
            <w:tcW w:w="2799"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Structure</w:t>
            </w:r>
          </w:p>
        </w:tc>
        <w:tc>
          <w:tcPr>
            <w:tcW w:w="1564"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Best Druggability</w:t>
            </w:r>
          </w:p>
        </w:tc>
        <w:tc>
          <w:tcPr>
            <w:tcW w:w="1562"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PHE1760 present?</w:t>
            </w:r>
          </w:p>
        </w:tc>
        <w:tc>
          <w:tcPr>
            <w:tcW w:w="1500"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Volume (Å³)</w:t>
            </w:r>
          </w:p>
        </w:tc>
        <w:tc>
          <w:tcPr>
            <w:tcW w:w="1601"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Top Pocket Location</w:t>
            </w:r>
          </w:p>
        </w:tc>
      </w:tr>
      <w:tr>
        <w:trPr/>
        <w:tc>
          <w:tcPr>
            <w:tcW w:w="2799"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apoMutant MD rep (500 ns)</w:t>
            </w:r>
          </w:p>
        </w:tc>
        <w:tc>
          <w:tcPr>
            <w:tcW w:w="1564"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0.970</w:t>
            </w:r>
          </w:p>
        </w:tc>
        <w:tc>
          <w:tcPr>
            <w:tcW w:w="1562"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bCs/>
                <w:color w:val="000000"/>
                <w:sz w:val="18"/>
                <w:szCs w:val="18"/>
              </w:rPr>
              <w:t>YES ✔</w:t>
            </w:r>
          </w:p>
        </w:tc>
        <w:tc>
          <w:tcPr>
            <w:tcW w:w="15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1312</w:t>
            </w:r>
          </w:p>
        </w:tc>
        <w:tc>
          <w:tcPr>
            <w:tcW w:w="1601"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Domain IV S6</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holoMutant MD rep (ligand removed)</w:t>
            </w:r>
          </w:p>
        </w:tc>
        <w:tc>
          <w:tcPr>
            <w:tcW w:w="1564"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bCs/>
                <w:color w:val="000000"/>
                <w:sz w:val="18"/>
                <w:szCs w:val="18"/>
              </w:rPr>
              <w:t>1.000</w:t>
            </w:r>
          </w:p>
        </w:tc>
        <w:tc>
          <w:tcPr>
            <w:tcW w:w="156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bCs/>
                <w:color w:val="000000"/>
                <w:sz w:val="18"/>
                <w:szCs w:val="18"/>
              </w:rPr>
              <w:t>YES ✔</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2591</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Domain IV S6 + III/IV merged</w:t>
            </w:r>
          </w:p>
        </w:tc>
      </w:tr>
      <w:tr>
        <w:trPr/>
        <w:tc>
          <w:tcPr>
            <w:tcW w:w="2799"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N347K static PDB (this analysis)</w:t>
            </w:r>
          </w:p>
        </w:tc>
        <w:tc>
          <w:tcPr>
            <w:tcW w:w="1564"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0.975</w:t>
            </w:r>
          </w:p>
        </w:tc>
        <w:tc>
          <w:tcPr>
            <w:tcW w:w="1562"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bCs/>
                <w:color w:val="000000"/>
                <w:sz w:val="18"/>
                <w:szCs w:val="18"/>
              </w:rPr>
              <w:t>NO ✗</w:t>
            </w:r>
          </w:p>
        </w:tc>
        <w:tc>
          <w:tcPr>
            <w:tcW w:w="15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846</w:t>
            </w:r>
          </w:p>
        </w:tc>
        <w:tc>
          <w:tcPr>
            <w:tcW w:w="1601"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Domain III/IV inner helix</w:t>
            </w:r>
          </w:p>
        </w:tc>
      </w:tr>
    </w:tbl>
    <w:p>
      <w:pPr>
        <w:pStyle w:val="Normal"/>
        <w:spacing w:before="60" w:after="120"/>
        <w:jc w:val="both"/>
        <w:rPr/>
      </w:pPr>
      <w:r>
        <w:rPr>
          <w:rFonts w:eastAsia="Arial" w:cs="Arial"/>
          <w:color w:val="666666"/>
          <w:sz w:val="18"/>
          <w:szCs w:val="18"/>
        </w:rPr>
        <w:t>Table 2. Comparison of top druggable pockets across N347K structures. PHE1760 presence marks the classical LA binding site.</w:t>
      </w:r>
    </w:p>
    <w:p>
      <w:pPr>
        <w:pStyle w:val="Heading1"/>
        <w:pBdr>
          <w:bottom w:val="single" w:sz="4" w:space="1" w:color="1C3557"/>
        </w:pBdr>
        <w:spacing w:before="280" w:after="120"/>
        <w:jc w:val="both"/>
        <w:rPr/>
      </w:pPr>
      <w:r>
        <w:rPr>
          <w:rFonts w:eastAsia="Arial" w:cs="Arial" w:ascii="Arial" w:hAnsi="Arial"/>
          <w:b/>
          <w:bCs/>
          <w:color w:val="1C3557"/>
          <w:sz w:val="28"/>
          <w:szCs w:val="28"/>
        </w:rPr>
        <w:t>Conclusion</w:t>
      </w:r>
    </w:p>
    <w:p>
      <w:pPr>
        <w:pStyle w:val="Normal"/>
        <w:spacing w:before="80" w:after="80"/>
        <w:jc w:val="both"/>
        <w:rPr/>
      </w:pPr>
      <w:r>
        <w:rPr>
          <w:rFonts w:eastAsia="Arial" w:cs="Arial"/>
          <w:sz w:val="22"/>
          <w:szCs w:val="22"/>
        </w:rPr>
        <w:t>fpocket analysis of the N347K static crystallographic structure reveals high druggability pockets in the Domain III/IV inner helix and Domain I S5-S6 regions. However, the classical local anaesthetic binding residue PHE1760 is absent from the top-ranked pocket — a key difference from the MD-derived structures where PHE1760 is consistently present in the most druggable cavity.</w:t>
      </w:r>
    </w:p>
    <w:p>
      <w:pPr>
        <w:pStyle w:val="Normal"/>
        <w:spacing w:before="80" w:after="80"/>
        <w:jc w:val="both"/>
        <w:rPr/>
      </w:pPr>
      <w:r>
        <w:rPr>
          <w:rFonts w:eastAsia="Arial" w:cs="Arial"/>
          <w:sz w:val="22"/>
          <w:szCs w:val="22"/>
        </w:rPr>
        <w:t>This finding underscores the importance of MD simulation for binding site characterisation: the static crystallographic conformation underestimates the druggability of the PHE1760-containing pocket, which only reaches full accessibility after conformational relaxation during 500 ns simulation.</w:t>
      </w:r>
    </w:p>
    <w:p>
      <w:pPr>
        <w:pStyle w:val="Normal"/>
        <w:spacing w:before="80" w:after="80"/>
        <w:jc w:val="both"/>
        <w:rPr/>
      </w:pPr>
      <w:r>
        <w:rPr>
          <w:rFonts w:eastAsia="Arial" w:cs="Arial"/>
          <w:b w:val="false"/>
          <w:bCs w:val="false"/>
          <w:sz w:val="22"/>
          <w:szCs w:val="22"/>
        </w:rPr>
        <w:t>fpocket analysis was also performed on the WT static structure (receptor_wt.pdb, PDB 8VYK without mutagenesis) for direct comparison. The results were virtually identical to the N347K static analysis:</w:t>
      </w:r>
    </w:p>
    <w:p>
      <w:pPr>
        <w:pStyle w:val="ListParagraph"/>
        <w:numPr>
          <w:ilvl w:val="0"/>
          <w:numId w:val="1"/>
        </w:numPr>
        <w:spacing w:before="60" w:after="60"/>
        <w:jc w:val="both"/>
        <w:rPr/>
      </w:pPr>
      <w:r>
        <w:rPr>
          <w:rFonts w:eastAsia="Arial" w:cs="Arial"/>
          <w:sz w:val="22"/>
          <w:szCs w:val="22"/>
        </w:rPr>
        <w:t>WT Pocket 30: Druggability 0.975, Volume 832 Å³ — same residues, same score</w:t>
      </w:r>
    </w:p>
    <w:p>
      <w:pPr>
        <w:pStyle w:val="ListParagraph"/>
        <w:numPr>
          <w:ilvl w:val="0"/>
          <w:numId w:val="1"/>
        </w:numPr>
        <w:spacing w:before="60" w:after="60"/>
        <w:jc w:val="both"/>
        <w:rPr/>
      </w:pPr>
      <w:r>
        <w:rPr>
          <w:rFonts w:eastAsia="Arial" w:cs="Arial"/>
          <w:sz w:val="22"/>
          <w:szCs w:val="22"/>
        </w:rPr>
        <w:t>WT Pocket 33: Druggability 0.956, Volume 688 Å³</w:t>
      </w:r>
    </w:p>
    <w:p>
      <w:pPr>
        <w:pStyle w:val="ListParagraph"/>
        <w:numPr>
          <w:ilvl w:val="0"/>
          <w:numId w:val="1"/>
        </w:numPr>
        <w:spacing w:before="60" w:after="60"/>
        <w:jc w:val="both"/>
        <w:rPr/>
      </w:pPr>
      <w:r>
        <w:rPr>
          <w:rFonts w:eastAsia="Arial" w:cs="Arial"/>
          <w:sz w:val="22"/>
          <w:szCs w:val="22"/>
        </w:rPr>
        <w:t>WT Pocket 1: Druggability 0.883, Volume 577 Å³</w:t>
      </w:r>
    </w:p>
    <w:p>
      <w:pPr>
        <w:pStyle w:val="Normal"/>
        <w:spacing w:before="80" w:after="80"/>
        <w:jc w:val="both"/>
        <w:rPr/>
      </w:pPr>
      <w:r>
        <w:rPr>
          <w:rFonts w:eastAsia="Arial" w:cs="Arial"/>
          <w:sz w:val="22"/>
          <w:szCs w:val="22"/>
        </w:rPr>
        <w:t>This is expected: since the N347K static PDB was generated by in silico mutagenesis of a single residue (N347→K347) from the WT crystallographic structure, the overall protein conformation is essentially identical. fpocket therefore detects the same cavities with the same druggability scores in both structures.</w:t>
      </w:r>
    </w:p>
    <w:p>
      <w:pPr>
        <w:pStyle w:val="Normal"/>
        <w:spacing w:before="80" w:after="80"/>
        <w:jc w:val="both"/>
        <w:rPr/>
      </w:pPr>
      <w:r>
        <w:rPr>
          <w:rFonts w:eastAsia="Arial" w:cs="Arial"/>
          <w:b/>
          <w:bCs/>
          <w:sz w:val="22"/>
          <w:szCs w:val="22"/>
        </w:rPr>
        <w:t>This observation provides an important methodological insight: static crystallographic structures are insufficient to capture the conformational consequences of the N347K mutation. The differences between WT and N347K only emerge after 500 ns MD simulation, where the K347⁺ charge reshapes the local electrostatic environment and modifies pocket geometry. MD-derived representative frames are therefore essential for accurate binding site characterisation in this system.</w:t>
      </w:r>
    </w:p>
    <w:p>
      <w:pPr>
        <w:pStyle w:val="Heading1"/>
        <w:pBdr>
          <w:bottom w:val="single" w:sz="4" w:space="1" w:color="1C3557"/>
        </w:pBdr>
        <w:spacing w:before="280" w:after="120"/>
        <w:jc w:val="both"/>
        <w:rPr/>
      </w:pPr>
      <w:r>
        <w:rPr>
          <w:rFonts w:eastAsia="Arial" w:cs="Arial" w:ascii="Arial" w:hAnsi="Arial"/>
          <w:b/>
          <w:bCs/>
          <w:color w:val="1C3557"/>
          <w:sz w:val="28"/>
          <w:szCs w:val="28"/>
        </w:rPr>
        <w:t>References</w:t>
      </w:r>
    </w:p>
    <w:p>
      <w:pPr>
        <w:pStyle w:val="Normal"/>
        <w:spacing w:before="60" w:after="40"/>
        <w:ind w:left="720" w:hanging="360"/>
        <w:jc w:val="both"/>
        <w:rPr/>
      </w:pPr>
      <w:r>
        <w:rPr>
          <w:rFonts w:eastAsia="Arial" w:cs="Arial"/>
          <w:sz w:val="18"/>
          <w:szCs w:val="18"/>
        </w:rPr>
        <w:t>Tikhonov, D.B. &amp; Zhorov, B.S. (2022). Molecular modeling of cardiac sodium channel with mexiletine. Front. Pharmacol. PMID: 36557159.</w:t>
      </w:r>
    </w:p>
    <w:p>
      <w:pPr>
        <w:pStyle w:val="Normal"/>
        <w:spacing w:before="40" w:after="40"/>
        <w:ind w:left="720" w:hanging="360"/>
        <w:jc w:val="both"/>
        <w:rPr/>
      </w:pPr>
      <w:r>
        <w:rPr>
          <w:rFonts w:eastAsia="Arial" w:cs="Arial"/>
          <w:sz w:val="18"/>
          <w:szCs w:val="18"/>
        </w:rPr>
        <w:t>Nakajima, T. et al. (2019). Mexiletine block of voltage-gated sodium channels. Mol. Pharmacol. 95, 236–246.</w:t>
      </w:r>
    </w:p>
    <w:p>
      <w:pPr>
        <w:pStyle w:val="Normal"/>
        <w:spacing w:before="40" w:after="40"/>
        <w:ind w:left="720" w:hanging="360"/>
        <w:jc w:val="both"/>
        <w:rPr/>
      </w:pPr>
      <w:r>
        <w:rPr>
          <w:rFonts w:eastAsia="Arial" w:cs="Arial"/>
          <w:sz w:val="18"/>
          <w:szCs w:val="18"/>
        </w:rPr>
        <w:t>Le Guilloux, V. et al. (2009). fpocket: An open source platform for ligand pocket detection. BMC Bioinformatics 10, 168.</w:t>
      </w:r>
    </w:p>
    <w:sectPr>
      <w:footerReference w:type="default" r:id="rId2"/>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888888"/>
        <w:sz w:val="16"/>
        <w:szCs w:val="16"/>
      </w:rPr>
      <w:t xml:space="preserve">Yağmur Yeşilyurt | Nav1.5 N347K | fpocket Static PDB | </w:t>
    </w:r>
    <w:r>
      <w:rPr/>
      <w:fldChar w:fldCharType="begin"/>
    </w:r>
    <w:r>
      <w:rPr/>
      <w:instrText xml:space="preserve"> PAGE </w:instrText>
    </w:r>
    <w:r>
      <w:rPr/>
      <w:fldChar w:fldCharType="separate"/>
    </w:r>
    <w:r>
      <w:rPr/>
      <w:t>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14"/>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80" w:after="120"/>
      <w:outlineLvl w:val="0"/>
    </w:pPr>
    <w:rPr>
      <w:rFonts w:ascii="Arial" w:hAnsi="Arial" w:eastAsia="Arial" w:cs="Arial"/>
      <w:b/>
      <w:bCs/>
      <w:color w:val="1C3557"/>
      <w:sz w:val="28"/>
      <w:szCs w:val="28"/>
    </w:rPr>
  </w:style>
  <w:style w:type="paragraph" w:styleId="Heading2">
    <w:name w:val="Heading 2"/>
    <w:basedOn w:val="Heading"/>
    <w:qFormat/>
    <w:pPr>
      <w:spacing w:before="200" w:after="80"/>
      <w:outlineLvl w:val="1"/>
    </w:pPr>
    <w:rPr>
      <w:rFonts w:ascii="Arial" w:hAnsi="Arial" w:eastAsia="Arial" w:cs="Arial"/>
      <w:b/>
      <w:bCs/>
      <w:color w:val="2E6DA4"/>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3</Pages>
  <Words>870</Words>
  <Characters>5078</Characters>
  <CharactersWithSpaces>5844</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2026-06-11T10:41:23Z</dcterms:created>
  <dc:creator>Un-named</dc:creator>
  <dc:description/>
  <dc:language>en-US</dc:language>
  <cp:lastModifiedBy/>
  <dcterms:modified xsi:type="dcterms:W3CDTF">2026-06-11T13:04:11Z</dcterms:modified>
  <cp:revision>2</cp:revision>
  <dc:subject/>
  <dc:title/>
</cp:coreProperties>
</file>