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both"/>
        <w:rPr/>
      </w:pPr>
      <w:r>
        <w:rPr>
          <w:rFonts w:eastAsia="Arial" w:cs="Arial"/>
          <w:b/>
          <w:bCs/>
          <w:color w:val="1C3557"/>
          <w:sz w:val="36"/>
          <w:szCs w:val="36"/>
        </w:rPr>
        <w:t>Binding Site Detection — Nav1.5 N347K (apoMutant)</w:t>
      </w:r>
    </w:p>
    <w:p>
      <w:pPr>
        <w:pStyle w:val="Normal"/>
        <w:spacing w:before="0" w:after="60"/>
        <w:jc w:val="both"/>
        <w:rPr/>
      </w:pPr>
      <w:r>
        <w:rPr>
          <w:rFonts w:eastAsia="Arial" w:cs="Arial"/>
          <w:color w:val="666666"/>
          <w:sz w:val="24"/>
          <w:szCs w:val="24"/>
        </w:rPr>
        <w:t>fpocket Analysis on Representative MD Frame</w:t>
      </w:r>
    </w:p>
    <w:p>
      <w:pPr>
        <w:pStyle w:val="Normal"/>
        <w:spacing w:before="0" w:after="60"/>
        <w:jc w:val="both"/>
        <w:rPr/>
      </w:pPr>
      <w:r>
        <w:rPr>
          <w:rFonts w:eastAsia="Arial" w:cs="Arial"/>
          <w:color w:val="888888"/>
          <w:sz w:val="20"/>
          <w:szCs w:val="20"/>
        </w:rPr>
        <w:t>Yağmur Yeşilyurt | SIS2E PhD Fellow | UniBicocca | June 2026</w:t>
      </w:r>
    </w:p>
    <w:p>
      <w:pPr>
        <w:pStyle w:val="Normal"/>
        <w:pBdr>
          <w:bottom w:val="single" w:sz="6" w:space="1" w:color="1C3557"/>
        </w:pBdr>
        <w:spacing w:before="0" w:after="200"/>
        <w:jc w:val="both"/>
        <w:rPr/>
      </w:pPr>
      <w:r>
        <w:rPr/>
      </w:r>
    </w:p>
    <w:p>
      <w:pPr>
        <w:pStyle w:val="Heading1"/>
        <w:pBdr>
          <w:bottom w:val="single" w:sz="4" w:space="1" w:color="1C3557"/>
        </w:pBdr>
        <w:spacing w:before="280" w:after="120"/>
        <w:jc w:val="both"/>
        <w:rPr/>
      </w:pPr>
      <w:r>
        <w:rPr>
          <w:rFonts w:eastAsia="Arial" w:cs="Arial" w:ascii="Arial" w:hAnsi="Arial"/>
          <w:b/>
          <w:bCs/>
          <w:color w:val="1C3557"/>
          <w:sz w:val="28"/>
          <w:szCs w:val="28"/>
        </w:rPr>
        <w:t>Method</w:t>
      </w:r>
    </w:p>
    <w:p>
      <w:pPr>
        <w:pStyle w:val="Normal"/>
        <w:spacing w:before="80" w:after="80"/>
        <w:jc w:val="both"/>
        <w:rPr/>
      </w:pPr>
      <w:r>
        <w:rPr>
          <w:rFonts w:eastAsia="Arial" w:cs="Arial"/>
          <w:sz w:val="22"/>
          <w:szCs w:val="22"/>
        </w:rPr>
        <w:t>The representative frame of the apoMutant (N347K, no ligand) trajectory was selected using ligand-filtered DBSCAN clustering on the 500 ns trajectory (10,000 frames). Since no ligand is present in the apoMutant system, the clustering was performed directly on all frames using backbone RMSD (eps = 0.53 Å, min_samples = 5). A single cluster was identified comprising all 10,000 frames, with a medoid at trajectory index 3225 (medoid RMSD = 3.525 Å).</w:t>
      </w:r>
    </w:p>
    <w:p>
      <w:pPr>
        <w:pStyle w:val="Normal"/>
        <w:spacing w:before="80" w:after="80"/>
        <w:jc w:val="both"/>
        <w:rPr/>
      </w:pPr>
      <w:r>
        <w:rPr>
          <w:rFonts w:eastAsia="Arial" w:cs="Arial"/>
          <w:sz w:val="22"/>
          <w:szCs w:val="22"/>
        </w:rPr>
        <w:t>fpocket (v4.0, Discngine) was run on the representative frame (rep_structure_full_10k.pdb) to detect all druggable cavities on the protein surface. A total of 134 pockets were detected. The three most druggable pockets were selected for further analysis based on Druggability Score.</w:t>
      </w:r>
    </w:p>
    <w:p>
      <w:pPr>
        <w:pStyle w:val="Heading1"/>
        <w:pBdr>
          <w:bottom w:val="single" w:sz="4" w:space="1" w:color="1C3557"/>
        </w:pBdr>
        <w:spacing w:before="280" w:after="120"/>
        <w:jc w:val="both"/>
        <w:rPr/>
      </w:pPr>
      <w:r>
        <w:rPr>
          <w:rFonts w:eastAsia="Arial" w:cs="Arial" w:ascii="Arial" w:hAnsi="Arial"/>
          <w:b/>
          <w:bCs/>
          <w:color w:val="1C3557"/>
          <w:sz w:val="28"/>
          <w:szCs w:val="28"/>
        </w:rPr>
        <w:t>Results</w:t>
      </w:r>
    </w:p>
    <w:p>
      <w:pPr>
        <w:pStyle w:val="Heading2"/>
        <w:spacing w:before="200" w:after="80"/>
        <w:jc w:val="both"/>
        <w:rPr/>
      </w:pPr>
      <w:r>
        <w:rPr>
          <w:rFonts w:eastAsia="Arial" w:cs="Arial" w:ascii="Arial" w:hAnsi="Arial"/>
          <w:b/>
          <w:bCs/>
          <w:color w:val="2E6DA4"/>
          <w:sz w:val="24"/>
          <w:szCs w:val="24"/>
        </w:rPr>
        <w:t>Overview — Top Druggable Pockets</w:t>
      </w:r>
    </w:p>
    <w:p>
      <w:pPr>
        <w:pStyle w:val="Normal"/>
        <w:spacing w:before="80" w:after="80"/>
        <w:jc w:val="both"/>
        <w:rPr/>
      </w:pPr>
      <w:r>
        <w:rPr>
          <w:rFonts w:eastAsia="Arial" w:cs="Arial"/>
          <w:sz w:val="22"/>
          <w:szCs w:val="22"/>
        </w:rPr>
        <w:t>Table 1 summarises the top pockets ranked by Druggability Score. Pocket 2 has the highest druggability (0.970), followed by Pocket 13 (0.873) and Pocket 8 (0.747).</w:t>
      </w:r>
    </w:p>
    <w:p>
      <w:pPr>
        <w:pStyle w:val="Normal"/>
        <w:spacing w:before="120" w:after="80"/>
        <w:jc w:val="both"/>
        <w:rPr/>
      </w:pPr>
      <w:r>
        <w:rPr/>
      </w:r>
    </w:p>
    <w:tbl>
      <w:tblPr>
        <w:tblW w:w="9026" w:type="dxa"/>
        <w:jc w:val="left"/>
        <w:tblInd w:w="0" w:type="dxa"/>
        <w:tblLayout w:type="fixed"/>
        <w:tblCellMar>
          <w:top w:w="80" w:type="dxa"/>
          <w:left w:w="120" w:type="dxa"/>
          <w:bottom w:w="80" w:type="dxa"/>
          <w:right w:w="120" w:type="dxa"/>
        </w:tblCellMar>
      </w:tblPr>
      <w:tblGrid>
        <w:gridCol w:w="1199"/>
        <w:gridCol w:w="1500"/>
        <w:gridCol w:w="1500"/>
        <w:gridCol w:w="1800"/>
        <w:gridCol w:w="3027"/>
      </w:tblGrid>
      <w:tr>
        <w:trPr>
          <w:tblHeader w:val="true"/>
        </w:trPr>
        <w:tc>
          <w:tcPr>
            <w:tcW w:w="1199"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Pocket</w:t>
            </w:r>
          </w:p>
        </w:tc>
        <w:tc>
          <w:tcPr>
            <w:tcW w:w="15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Score</w:t>
            </w:r>
          </w:p>
        </w:tc>
        <w:tc>
          <w:tcPr>
            <w:tcW w:w="15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Druggability</w:t>
            </w:r>
          </w:p>
        </w:tc>
        <w:tc>
          <w:tcPr>
            <w:tcW w:w="18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Volume (Å³)</w:t>
            </w:r>
          </w:p>
        </w:tc>
        <w:tc>
          <w:tcPr>
            <w:tcW w:w="3027"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Location</w:t>
            </w:r>
          </w:p>
        </w:tc>
      </w:tr>
      <w:tr>
        <w:trPr/>
        <w:tc>
          <w:tcPr>
            <w:tcW w:w="11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2</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0.230</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0.970 ★</w:t>
            </w:r>
          </w:p>
        </w:tc>
        <w:tc>
          <w:tcPr>
            <w:tcW w:w="18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1312</w:t>
            </w:r>
          </w:p>
        </w:tc>
        <w:tc>
          <w:tcPr>
            <w:tcW w:w="3027"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IV S6 — classical LA binding site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13</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0.074</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0.873</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843</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Domain III S6 + Domain I S5-S6 — Domain III/IV junction region</w:t>
            </w:r>
          </w:p>
        </w:tc>
      </w:tr>
      <w:tr>
        <w:trPr/>
        <w:tc>
          <w:tcPr>
            <w:tcW w:w="1199"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8</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0.124</w:t>
            </w:r>
          </w:p>
        </w:tc>
        <w:tc>
          <w:tcPr>
            <w:tcW w:w="1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0.747</w:t>
            </w:r>
          </w:p>
        </w:tc>
        <w:tc>
          <w:tcPr>
            <w:tcW w:w="18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497</w:t>
            </w:r>
          </w:p>
        </w:tc>
        <w:tc>
          <w:tcPr>
            <w:tcW w:w="3027"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III S5-S6 — allosteric region</w:t>
            </w:r>
          </w:p>
        </w:tc>
      </w:tr>
    </w:tbl>
    <w:p>
      <w:pPr>
        <w:pStyle w:val="Normal"/>
        <w:spacing w:before="60" w:after="120"/>
        <w:jc w:val="both"/>
        <w:rPr/>
      </w:pPr>
      <w:r>
        <w:rPr>
          <w:rFonts w:eastAsia="Arial" w:cs="Arial"/>
          <w:color w:val="666666"/>
          <w:sz w:val="18"/>
          <w:szCs w:val="18"/>
        </w:rPr>
        <w:t>Table 1. Top 3 druggable pockets identified by fpocket on the apoMutant representative frame.</w:t>
      </w:r>
    </w:p>
    <w:p>
      <w:pPr>
        <w:pStyle w:val="Heading2"/>
        <w:spacing w:before="200" w:after="80"/>
        <w:jc w:val="both"/>
        <w:rPr/>
      </w:pPr>
      <w:r>
        <w:rPr>
          <w:rFonts w:eastAsia="Arial" w:cs="Arial" w:ascii="Arial" w:hAnsi="Arial"/>
          <w:b/>
          <w:bCs/>
          <w:color w:val="2E6DA4"/>
          <w:sz w:val="24"/>
          <w:szCs w:val="24"/>
        </w:rPr>
        <w:t>Pocket 2 — Domain IV S6 (Classical LA Binding Site)</w:t>
      </w:r>
    </w:p>
    <w:p>
      <w:pPr>
        <w:pStyle w:val="Normal"/>
        <w:spacing w:before="80" w:after="80"/>
        <w:jc w:val="both"/>
        <w:rPr/>
      </w:pPr>
      <w:r>
        <w:rPr>
          <w:rFonts w:eastAsia="Arial" w:cs="Arial"/>
          <w:sz w:val="22"/>
          <w:szCs w:val="22"/>
        </w:rPr>
        <w:t>Pocket 2 has the highest Druggability Score (0.970) and a volume of 1,312 Å³. Key residues forming this pocket:</w:t>
      </w:r>
    </w:p>
    <w:p>
      <w:pPr>
        <w:pStyle w:val="ListParagraph"/>
        <w:numPr>
          <w:ilvl w:val="0"/>
          <w:numId w:val="3"/>
        </w:numPr>
        <w:spacing w:before="60" w:after="60"/>
        <w:jc w:val="both"/>
        <w:rPr/>
      </w:pPr>
      <w:r>
        <w:rPr>
          <w:rFonts w:eastAsia="Arial" w:cs="Arial"/>
          <w:sz w:val="22"/>
          <w:szCs w:val="22"/>
        </w:rPr>
        <w:t>PHE1760 (Domain IV S6) — the critical phenylalanine residue involved in π–π interactions with local anaesthetics. Identified as the primary binding determinant for lidocaine, mexiletine and flecainide in mutagenesis studies (Nakajima et al., 2019).</w:t>
      </w:r>
    </w:p>
    <w:p>
      <w:pPr>
        <w:pStyle w:val="ListParagraph"/>
        <w:numPr>
          <w:ilvl w:val="0"/>
          <w:numId w:val="1"/>
        </w:numPr>
        <w:spacing w:before="60" w:after="60"/>
        <w:jc w:val="both"/>
        <w:rPr/>
      </w:pPr>
      <w:r>
        <w:rPr>
          <w:rFonts w:eastAsia="Arial" w:cs="Arial"/>
          <w:sz w:val="22"/>
          <w:szCs w:val="22"/>
        </w:rPr>
        <w:t>TYR1409 (Domain IV S6) — secondary aromatic contact, present in lidocaine binding cryo-EM structures.</w:t>
      </w:r>
    </w:p>
    <w:p>
      <w:pPr>
        <w:pStyle w:val="ListParagraph"/>
        <w:numPr>
          <w:ilvl w:val="0"/>
          <w:numId w:val="1"/>
        </w:numPr>
        <w:spacing w:before="60" w:after="60"/>
        <w:jc w:val="both"/>
        <w:rPr/>
      </w:pPr>
      <w:r>
        <w:rPr>
          <w:rFonts w:eastAsia="Arial" w:cs="Arial"/>
          <w:sz w:val="22"/>
          <w:szCs w:val="22"/>
        </w:rPr>
        <w:t>LEU1462, PHE1465 (Domain IV S6) — hydrophobic contacts.</w:t>
      </w:r>
    </w:p>
    <w:p>
      <w:pPr>
        <w:pStyle w:val="ListParagraph"/>
        <w:numPr>
          <w:ilvl w:val="0"/>
          <w:numId w:val="1"/>
        </w:numPr>
        <w:spacing w:before="60" w:after="60"/>
        <w:jc w:val="both"/>
        <w:rPr/>
      </w:pPr>
      <w:r>
        <w:rPr>
          <w:rFonts w:eastAsia="Arial" w:cs="Arial"/>
          <w:sz w:val="22"/>
          <w:szCs w:val="22"/>
        </w:rPr>
        <w:t>LEU1413, ALA1416, THR1417, PHE1418, LYS1419, THR1461, SER1458 — S6 lining residues.</w:t>
      </w:r>
    </w:p>
    <w:p>
      <w:pPr>
        <w:pStyle w:val="ListParagraph"/>
        <w:numPr>
          <w:ilvl w:val="0"/>
          <w:numId w:val="1"/>
        </w:numPr>
        <w:spacing w:before="60" w:after="60"/>
        <w:jc w:val="both"/>
        <w:rPr/>
      </w:pPr>
      <w:r>
        <w:rPr>
          <w:rFonts w:eastAsia="Arial" w:cs="Arial"/>
          <w:sz w:val="22"/>
          <w:szCs w:val="22"/>
        </w:rPr>
        <w:t>ASP372, GLU375, TRP374, GLN371, THR370 (Domain I P-loop) — selectivity filter adjacent residues.</w:t>
      </w:r>
    </w:p>
    <w:p>
      <w:pPr>
        <w:pStyle w:val="ListParagraph"/>
        <w:numPr>
          <w:ilvl w:val="0"/>
          <w:numId w:val="1"/>
        </w:numPr>
        <w:spacing w:before="60" w:after="60"/>
        <w:jc w:val="both"/>
        <w:rPr/>
      </w:pPr>
      <w:r>
        <w:rPr>
          <w:rFonts w:eastAsia="Arial" w:cs="Arial"/>
          <w:sz w:val="22"/>
          <w:szCs w:val="22"/>
        </w:rPr>
        <w:t>CYS896, GLY897, GLU898 (Domain II P-loop) — DEKA motif residues.</w:t>
      </w:r>
    </w:p>
    <w:p>
      <w:pPr>
        <w:pStyle w:val="Normal"/>
        <w:spacing w:before="80" w:after="80"/>
        <w:jc w:val="both"/>
        <w:rPr/>
      </w:pPr>
      <w:r>
        <w:rPr>
          <w:rFonts w:eastAsia="Arial" w:cs="Arial"/>
          <w:sz w:val="22"/>
          <w:szCs w:val="22"/>
        </w:rPr>
        <w:t>This pocket corresponds exactly to the classical high-affinity local anaesthetic receptor site described in the literature. The presence of PHE1760 confirms this is the primary drug binding region of Nav1.5.</w:t>
      </w:r>
    </w:p>
    <w:p>
      <w:pPr>
        <w:pStyle w:val="Heading2"/>
        <w:spacing w:before="200" w:after="80"/>
        <w:jc w:val="both"/>
        <w:rPr/>
      </w:pPr>
      <w:r>
        <w:rPr>
          <w:rFonts w:eastAsia="Arial" w:cs="Arial" w:ascii="Arial" w:hAnsi="Arial"/>
          <w:b/>
          <w:bCs/>
          <w:color w:val="2E6DA4"/>
          <w:sz w:val="24"/>
          <w:szCs w:val="24"/>
        </w:rPr>
        <w:t>Pocket 13 — Domain III/IV Junction Region</w:t>
      </w:r>
    </w:p>
    <w:p>
      <w:pPr>
        <w:pStyle w:val="Normal"/>
        <w:spacing w:before="80" w:after="80"/>
        <w:jc w:val="both"/>
        <w:rPr/>
      </w:pPr>
      <w:r>
        <w:rPr>
          <w:rFonts w:eastAsia="Arial" w:cs="Arial"/>
          <w:sz w:val="22"/>
          <w:szCs w:val="22"/>
        </w:rPr>
        <w:t>Pocket 13 has a Druggability Score of 0.873 and a volume of 843 Å³. Key residues:</w:t>
      </w:r>
    </w:p>
    <w:p>
      <w:pPr>
        <w:pStyle w:val="ListParagraph"/>
        <w:numPr>
          <w:ilvl w:val="0"/>
          <w:numId w:val="1"/>
        </w:numPr>
        <w:spacing w:before="60" w:after="60"/>
        <w:jc w:val="both"/>
        <w:rPr/>
      </w:pPr>
      <w:r>
        <w:rPr>
          <w:rFonts w:eastAsia="Arial" w:cs="Arial"/>
          <w:sz w:val="22"/>
          <w:szCs w:val="22"/>
        </w:rPr>
        <w:t>ILE1630, LEU1627, ILE1633, LEU1634, ILE1637, ILE1643, LEU1647, LEU1650 (Domain III S6) — hydrophobic core of this pocket.</w:t>
      </w:r>
    </w:p>
    <w:p>
      <w:pPr>
        <w:pStyle w:val="ListParagraph"/>
        <w:numPr>
          <w:ilvl w:val="0"/>
          <w:numId w:val="1"/>
        </w:numPr>
        <w:spacing w:before="60" w:after="60"/>
        <w:jc w:val="both"/>
        <w:rPr/>
      </w:pPr>
      <w:r>
        <w:rPr>
          <w:rFonts w:eastAsia="Arial" w:cs="Arial"/>
          <w:sz w:val="22"/>
          <w:szCs w:val="22"/>
        </w:rPr>
        <w:t>CYS260, PHE259, PHE264, ILE267, VAL263, LEU256, LEU271, ILE388, TYR389, ILE391, TYR403, LEU395, LEU399, LEU404 (Domain I S5-S6) — secondary contacts.</w:t>
      </w:r>
    </w:p>
    <w:p>
      <w:pPr>
        <w:pStyle w:val="Normal"/>
        <w:spacing w:before="80" w:after="80"/>
        <w:jc w:val="both"/>
        <w:rPr/>
      </w:pPr>
      <w:r>
        <w:rPr>
          <w:rFonts w:eastAsia="Arial" w:cs="Arial"/>
          <w:sz w:val="22"/>
          <w:szCs w:val="22"/>
        </w:rPr>
        <w:t>This pocket is located at the Domain III/IV junction region — the same region where protonated mexiletine relocated in our MD simulations (ASP1714, ASP1423 dominant contacts, ΔG = −15.01 ± 5.59 kcal/mol). The overlap between fpocket detection and MD simulation findings provides independent validation of this binding site.</w:t>
      </w:r>
    </w:p>
    <w:p>
      <w:pPr>
        <w:pStyle w:val="Heading2"/>
        <w:spacing w:before="200" w:after="80"/>
        <w:jc w:val="both"/>
        <w:rPr/>
      </w:pPr>
      <w:r>
        <w:rPr>
          <w:rFonts w:eastAsia="Arial" w:cs="Arial" w:ascii="Arial" w:hAnsi="Arial"/>
          <w:b/>
          <w:bCs/>
          <w:color w:val="2E6DA4"/>
          <w:sz w:val="24"/>
          <w:szCs w:val="24"/>
        </w:rPr>
        <w:t>Pocket 8 — Domain III S5-S6 (Allosteric Region)</w:t>
      </w:r>
    </w:p>
    <w:p>
      <w:pPr>
        <w:pStyle w:val="Normal"/>
        <w:spacing w:before="80" w:after="80"/>
        <w:jc w:val="both"/>
        <w:rPr/>
      </w:pPr>
      <w:r>
        <w:rPr>
          <w:rFonts w:eastAsia="Arial" w:cs="Arial"/>
          <w:sz w:val="22"/>
          <w:szCs w:val="22"/>
        </w:rPr>
        <w:t>Pocket 8 has a Druggability Score of 0.747 and a volume of 497 Å³. Key residues:</w:t>
      </w:r>
    </w:p>
    <w:p>
      <w:pPr>
        <w:pStyle w:val="ListParagraph"/>
        <w:numPr>
          <w:ilvl w:val="0"/>
          <w:numId w:val="1"/>
        </w:numPr>
        <w:spacing w:before="60" w:after="60"/>
        <w:jc w:val="both"/>
        <w:rPr/>
      </w:pPr>
      <w:r>
        <w:rPr>
          <w:rFonts w:eastAsia="Arial" w:cs="Arial"/>
          <w:sz w:val="22"/>
          <w:szCs w:val="22"/>
        </w:rPr>
        <w:t>GLY780, TRP781, PHE784, LEU825, ILE829, ILE832, PHE816 (Domain III S5-S6) — hydrophobic pocket.</w:t>
      </w:r>
    </w:p>
    <w:p>
      <w:pPr>
        <w:pStyle w:val="ListParagraph"/>
        <w:numPr>
          <w:ilvl w:val="0"/>
          <w:numId w:val="1"/>
        </w:numPr>
        <w:spacing w:before="60" w:after="60"/>
        <w:jc w:val="both"/>
        <w:rPr/>
      </w:pPr>
      <w:r>
        <w:rPr>
          <w:rFonts w:eastAsia="Arial" w:cs="Arial"/>
          <w:sz w:val="22"/>
          <w:szCs w:val="22"/>
        </w:rPr>
        <w:t>PHE1344 (Domain IV) — cross-domain contact.</w:t>
      </w:r>
    </w:p>
    <w:p>
      <w:pPr>
        <w:pStyle w:val="Normal"/>
        <w:spacing w:before="80" w:after="80"/>
        <w:jc w:val="both"/>
        <w:rPr/>
      </w:pPr>
      <w:r>
        <w:rPr>
          <w:rFonts w:eastAsia="Arial" w:cs="Arial"/>
          <w:sz w:val="22"/>
          <w:szCs w:val="22"/>
        </w:rPr>
        <w:t>This pocket is located near the Domain III voltage-sensing domain (VSD), consistent with the allosteric binding site proposed for mexiletine in electrophysiology studies. Drug binding here could modulate DIII-VSD activation dynamics.</w:t>
      </w:r>
    </w:p>
    <w:p>
      <w:pPr>
        <w:pStyle w:val="Heading1"/>
        <w:pBdr>
          <w:bottom w:val="single" w:sz="4" w:space="1" w:color="1C3557"/>
        </w:pBdr>
        <w:spacing w:before="280" w:after="120"/>
        <w:jc w:val="both"/>
        <w:rPr/>
      </w:pPr>
      <w:r>
        <w:rPr>
          <w:rFonts w:eastAsia="Arial" w:cs="Arial" w:ascii="Arial" w:hAnsi="Arial"/>
          <w:b/>
          <w:bCs/>
          <w:color w:val="1C3557"/>
          <w:sz w:val="28"/>
          <w:szCs w:val="28"/>
        </w:rPr>
        <w:t>Comparison with MD Simulation Results</w:t>
      </w:r>
    </w:p>
    <w:p>
      <w:pPr>
        <w:pStyle w:val="Normal"/>
        <w:spacing w:before="80" w:after="80"/>
        <w:jc w:val="both"/>
        <w:rPr/>
      </w:pPr>
      <w:r>
        <w:rPr>
          <w:rFonts w:eastAsia="Arial" w:cs="Arial"/>
          <w:sz w:val="22"/>
          <w:szCs w:val="22"/>
        </w:rPr>
        <w:t>The fpocket results on the apoMutant structure are fully consistent with our MD simulation findings:</w:t>
      </w:r>
    </w:p>
    <w:p>
      <w:pPr>
        <w:pStyle w:val="Normal"/>
        <w:spacing w:before="120" w:after="80"/>
        <w:jc w:val="both"/>
        <w:rPr/>
      </w:pPr>
      <w:r>
        <w:rPr/>
      </w:r>
    </w:p>
    <w:tbl>
      <w:tblPr>
        <w:tblW w:w="9026" w:type="dxa"/>
        <w:jc w:val="left"/>
        <w:tblInd w:w="0" w:type="dxa"/>
        <w:tblLayout w:type="fixed"/>
        <w:tblCellMar>
          <w:top w:w="80" w:type="dxa"/>
          <w:left w:w="120" w:type="dxa"/>
          <w:bottom w:w="80" w:type="dxa"/>
          <w:right w:w="120" w:type="dxa"/>
        </w:tblCellMar>
      </w:tblPr>
      <w:tblGrid>
        <w:gridCol w:w="2000"/>
        <w:gridCol w:w="2500"/>
        <w:gridCol w:w="2525"/>
        <w:gridCol w:w="2000"/>
      </w:tblGrid>
      <w:tr>
        <w:trPr>
          <w:tblHeader w:val="true"/>
        </w:trPr>
        <w:tc>
          <w:tcPr>
            <w:tcW w:w="20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fpocket Pocket</w:t>
            </w:r>
          </w:p>
        </w:tc>
        <w:tc>
          <w:tcPr>
            <w:tcW w:w="25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Location</w:t>
            </w:r>
          </w:p>
        </w:tc>
        <w:tc>
          <w:tcPr>
            <w:tcW w:w="2525"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MD Evidence</w:t>
            </w:r>
          </w:p>
        </w:tc>
        <w:tc>
          <w:tcPr>
            <w:tcW w:w="2000" w:type="dxa"/>
            <w:tcBorders>
              <w:top w:val="single" w:sz="2" w:space="0" w:color="1C3557"/>
              <w:left w:val="single" w:sz="2" w:space="0" w:color="1C3557"/>
              <w:bottom w:val="single" w:sz="2" w:space="0" w:color="1C3557"/>
              <w:right w:val="single" w:sz="2" w:space="0" w:color="1C3557"/>
            </w:tcBorders>
            <w:shd w:fill="1C3557" w:val="clear"/>
          </w:tcPr>
          <w:p>
            <w:pPr>
              <w:pStyle w:val="Normal"/>
              <w:widowControl w:val="false"/>
              <w:jc w:val="both"/>
              <w:rPr/>
            </w:pPr>
            <w:r>
              <w:rPr>
                <w:rFonts w:eastAsia="Arial" w:cs="Arial"/>
                <w:b/>
                <w:bCs/>
                <w:color w:val="FFFFFF"/>
                <w:sz w:val="20"/>
                <w:szCs w:val="20"/>
              </w:rPr>
              <w:t>Literature</w:t>
            </w:r>
          </w:p>
        </w:tc>
      </w:tr>
      <w:tr>
        <w:trPr/>
        <w:tc>
          <w:tcPr>
            <w:tcW w:w="20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Pocket 2</w:t>
            </w:r>
          </w:p>
        </w:tc>
        <w:tc>
          <w:tcPr>
            <w:tcW w:w="2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IV S6 PHE1760, TYR1409</w:t>
            </w:r>
          </w:p>
        </w:tc>
        <w:tc>
          <w:tcPr>
            <w:tcW w:w="2525"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Neutral mexiletine P-loop MD: PRO348, ASP349 dominant — adjacent region. Blind docking: −6.5 kcal/mol</w:t>
            </w:r>
          </w:p>
        </w:tc>
        <w:tc>
          <w:tcPr>
            <w:tcW w:w="20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Classical LA site ✅ Nakajima 2019 Selig 2025</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bCs/>
                <w:color w:val="000000"/>
                <w:sz w:val="18"/>
                <w:szCs w:val="18"/>
              </w:rPr>
              <w:t>Pocket 13</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Domain III S6 Domain I S5-S6</w:t>
            </w:r>
          </w:p>
        </w:tc>
        <w:tc>
          <w:tcPr>
            <w:tcW w:w="25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Protonated mexiletine MD: ASP1714 67.9%, ASP1423 65.4%, ΔG = −15.01 kcal/mol ✅</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both"/>
              <w:rPr/>
            </w:pPr>
            <w:r>
              <w:rPr>
                <w:rFonts w:eastAsia="Arial" w:cs="Arial"/>
                <w:b w:val="false"/>
                <w:bCs w:val="false"/>
                <w:color w:val="000000"/>
                <w:sz w:val="18"/>
                <w:szCs w:val="18"/>
              </w:rPr>
              <w:t>Domain III/IV fenestration (Tikhonov &amp; Zhorov, 2022)</w:t>
            </w:r>
          </w:p>
        </w:tc>
      </w:tr>
      <w:tr>
        <w:trPr/>
        <w:tc>
          <w:tcPr>
            <w:tcW w:w="20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bCs/>
                <w:color w:val="000000"/>
                <w:sz w:val="18"/>
                <w:szCs w:val="18"/>
              </w:rPr>
              <w:t>Pocket 8</w:t>
            </w:r>
          </w:p>
        </w:tc>
        <w:tc>
          <w:tcPr>
            <w:tcW w:w="25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Domain III S5-S6</w:t>
            </w:r>
          </w:p>
        </w:tc>
        <w:tc>
          <w:tcPr>
            <w:tcW w:w="2525"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Not directly sampled in current MD — further investigation needed</w:t>
            </w:r>
          </w:p>
        </w:tc>
        <w:tc>
          <w:tcPr>
            <w:tcW w:w="2000" w:type="dxa"/>
            <w:tcBorders>
              <w:top w:val="single" w:sz="2" w:space="0" w:color="CCCCCC"/>
              <w:left w:val="single" w:sz="2" w:space="0" w:color="CCCCCC"/>
              <w:bottom w:val="single" w:sz="2" w:space="0" w:color="CCCCCC"/>
              <w:right w:val="single" w:sz="2" w:space="0" w:color="CCCCCC"/>
            </w:tcBorders>
            <w:shd w:fill="EAF4FB" w:val="clear"/>
          </w:tcPr>
          <w:p>
            <w:pPr>
              <w:pStyle w:val="Normal"/>
              <w:widowControl w:val="false"/>
              <w:jc w:val="both"/>
              <w:rPr/>
            </w:pPr>
            <w:r>
              <w:rPr>
                <w:rFonts w:eastAsia="Arial" w:cs="Arial"/>
                <w:b w:val="false"/>
                <w:bCs w:val="false"/>
                <w:color w:val="000000"/>
                <w:sz w:val="18"/>
                <w:szCs w:val="18"/>
              </w:rPr>
              <w:t>DIII-VSD allosteric site (Varga et al., 2015)</w:t>
            </w:r>
          </w:p>
        </w:tc>
      </w:tr>
    </w:tbl>
    <w:p>
      <w:pPr>
        <w:pStyle w:val="Normal"/>
        <w:spacing w:before="60" w:after="120"/>
        <w:jc w:val="both"/>
        <w:rPr/>
      </w:pPr>
      <w:r>
        <w:rPr>
          <w:rFonts w:eastAsia="Arial" w:cs="Arial"/>
          <w:color w:val="666666"/>
          <w:sz w:val="18"/>
          <w:szCs w:val="18"/>
        </w:rPr>
        <w:t>Table 2. Comparison of fpocket results with MD simulation and literature data.</w:t>
      </w:r>
    </w:p>
    <w:p>
      <w:pPr>
        <w:pStyle w:val="Heading1"/>
        <w:pBdr>
          <w:bottom w:val="single" w:sz="4" w:space="1" w:color="1C3557"/>
        </w:pBdr>
        <w:spacing w:before="280" w:after="120"/>
        <w:jc w:val="both"/>
        <w:rPr/>
      </w:pPr>
      <w:r>
        <w:rPr>
          <w:rFonts w:eastAsia="Arial" w:cs="Arial" w:ascii="Arial" w:hAnsi="Arial"/>
          <w:b/>
          <w:bCs/>
          <w:color w:val="1C3557"/>
          <w:sz w:val="28"/>
          <w:szCs w:val="28"/>
        </w:rPr>
        <w:t>Conclusion</w:t>
      </w:r>
    </w:p>
    <w:p>
      <w:pPr>
        <w:pStyle w:val="Normal"/>
        <w:spacing w:before="80" w:after="80"/>
        <w:jc w:val="both"/>
        <w:rPr/>
      </w:pPr>
      <w:r>
        <w:rPr>
          <w:rFonts w:eastAsia="Arial" w:cs="Arial"/>
          <w:sz w:val="22"/>
          <w:szCs w:val="22"/>
        </w:rPr>
        <w:t>fpocket analysis of the apoMutant representative frame identified 134 cavities, of which three show high druggability scores relevant to mexiletine binding:</w:t>
      </w:r>
    </w:p>
    <w:p>
      <w:pPr>
        <w:pStyle w:val="ListParagraph"/>
        <w:numPr>
          <w:ilvl w:val="0"/>
          <w:numId w:val="1"/>
        </w:numPr>
        <w:spacing w:before="60" w:after="60"/>
        <w:jc w:val="both"/>
        <w:rPr/>
      </w:pPr>
      <w:r>
        <w:rPr>
          <w:rFonts w:eastAsia="Arial" w:cs="Arial"/>
          <w:sz w:val="22"/>
          <w:szCs w:val="22"/>
        </w:rPr>
        <w:t>Pocket 2 (Domain IV S6, Druggability 0.970): classical local anaesthetic binding site, confirmed by literature and consistent with neutral mexiletine MD findings.</w:t>
      </w:r>
    </w:p>
    <w:p>
      <w:pPr>
        <w:pStyle w:val="ListParagraph"/>
        <w:numPr>
          <w:ilvl w:val="0"/>
          <w:numId w:val="1"/>
        </w:numPr>
        <w:spacing w:before="60" w:after="60"/>
        <w:jc w:val="both"/>
        <w:rPr/>
      </w:pPr>
      <w:r>
        <w:rPr>
          <w:rFonts w:eastAsia="Arial" w:cs="Arial"/>
          <w:sz w:val="22"/>
          <w:szCs w:val="22"/>
        </w:rPr>
        <w:t>Pocket 13 (Domain III/IV junction, Druggability 0.873): independently validates the binding site identified for protonated mexiletine in our MD simulations.</w:t>
      </w:r>
    </w:p>
    <w:p>
      <w:pPr>
        <w:pStyle w:val="ListParagraph"/>
        <w:numPr>
          <w:ilvl w:val="0"/>
          <w:numId w:val="1"/>
        </w:numPr>
        <w:spacing w:before="60" w:after="60"/>
        <w:jc w:val="both"/>
        <w:rPr/>
      </w:pPr>
      <w:r>
        <w:rPr>
          <w:rFonts w:eastAsia="Arial" w:cs="Arial"/>
          <w:sz w:val="22"/>
          <w:szCs w:val="22"/>
        </w:rPr>
        <w:t>Pocket 8 (Domain III S5-S6, Druggability 0.747): allosteric site, consistent with DIII-VSD modulation proposed in the literature.</w:t>
      </w:r>
    </w:p>
    <w:p>
      <w:pPr>
        <w:pStyle w:val="Normal"/>
        <w:spacing w:before="80" w:after="80"/>
        <w:jc w:val="both"/>
        <w:rPr/>
      </w:pPr>
      <w:r>
        <w:rPr>
          <w:rFonts w:eastAsia="Arial" w:cs="Arial"/>
          <w:sz w:val="22"/>
          <w:szCs w:val="22"/>
        </w:rPr>
        <w:t>The convergence of fpocket detection, MD simulation trajectories, and published literature provides strong evidence for Pocket 2 (Domain IV S6) as the primary binding site and Pocket 13 (Domain III/IV junction) as the physiologically relevant site for protonated mexiletine at neutral pH.</w:t>
      </w:r>
    </w:p>
    <w:p>
      <w:pPr>
        <w:pStyle w:val="Normal"/>
        <w:spacing w:before="80" w:after="80"/>
        <w:jc w:val="both"/>
        <w:rPr/>
      </w:pPr>
      <w:r>
        <w:rPr>
          <w:rFonts w:eastAsia="Arial" w:cs="Arial"/>
          <w:b/>
          <w:bCs/>
          <w:sz w:val="22"/>
          <w:szCs w:val="22"/>
        </w:rPr>
        <w:t>Next step: run targeted docking into Pocket 2 and Pocket 13 using protonated mexiletine to obtain docking scores for direct comparison with MD-derived MM-GBSA values.</w:t>
      </w:r>
    </w:p>
    <w:p>
      <w:pPr>
        <w:pStyle w:val="Heading1"/>
        <w:pBdr>
          <w:bottom w:val="single" w:sz="4" w:space="1" w:color="1C3557"/>
        </w:pBdr>
        <w:spacing w:before="280" w:after="120"/>
        <w:jc w:val="both"/>
        <w:rPr/>
      </w:pPr>
      <w:r>
        <w:rPr>
          <w:rFonts w:eastAsia="Arial" w:cs="Arial" w:ascii="Arial" w:hAnsi="Arial"/>
          <w:b/>
          <w:bCs/>
          <w:color w:val="1C3557"/>
          <w:sz w:val="28"/>
          <w:szCs w:val="28"/>
        </w:rPr>
        <w:t>References</w:t>
      </w:r>
    </w:p>
    <w:p>
      <w:pPr>
        <w:pStyle w:val="Normal"/>
        <w:spacing w:before="60" w:after="40"/>
        <w:ind w:left="720" w:hanging="360"/>
        <w:jc w:val="both"/>
        <w:rPr/>
      </w:pPr>
      <w:r>
        <w:rPr>
          <w:rFonts w:eastAsia="Arial" w:cs="Arial"/>
          <w:sz w:val="18"/>
          <w:szCs w:val="18"/>
        </w:rPr>
        <w:t>Nakajima, T. et al. (2019). Mexiletine block of voltage-gated sodium channels. Mol. Pharmacol. 95, 236–246.</w:t>
      </w:r>
    </w:p>
    <w:p>
      <w:pPr>
        <w:pStyle w:val="Normal"/>
        <w:spacing w:before="40" w:after="40"/>
        <w:ind w:left="720" w:hanging="360"/>
        <w:jc w:val="both"/>
        <w:rPr/>
      </w:pPr>
      <w:r>
        <w:rPr>
          <w:rFonts w:eastAsia="Arial" w:cs="Arial"/>
          <w:sz w:val="18"/>
          <w:szCs w:val="18"/>
        </w:rPr>
        <w:t>Tikhonov, D.B. &amp; Zhorov, B.S. (2022). Molecular modeling of cardiac sodium channel with mexiletine. Front. Pharmacol. PMID: 36557159.</w:t>
      </w:r>
    </w:p>
    <w:p>
      <w:pPr>
        <w:pStyle w:val="Normal"/>
        <w:spacing w:before="40" w:after="40"/>
        <w:ind w:left="720" w:hanging="360"/>
        <w:jc w:val="both"/>
        <w:rPr/>
      </w:pPr>
      <w:r>
        <w:rPr>
          <w:rFonts w:eastAsia="Arial" w:cs="Arial"/>
          <w:sz w:val="18"/>
          <w:szCs w:val="18"/>
        </w:rPr>
        <w:t>Selig, E.E. et al. (2025). Proc. Natl. Acad. Sci. U.S.A. 122, e2416181122.</w:t>
      </w:r>
    </w:p>
    <w:p>
      <w:pPr>
        <w:pStyle w:val="Normal"/>
        <w:spacing w:before="40" w:after="40"/>
        <w:ind w:left="720" w:hanging="360"/>
        <w:jc w:val="both"/>
        <w:rPr/>
      </w:pPr>
      <w:r>
        <w:rPr>
          <w:rFonts w:eastAsia="Arial" w:cs="Arial"/>
          <w:sz w:val="18"/>
          <w:szCs w:val="18"/>
        </w:rPr>
        <w:t>Le Guilloux, V. et al. (2009). fpocket: An open source platform for ligand pocket detection. BMC Bioinformatics 10, 168.</w:t>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88888"/>
        <w:sz w:val="16"/>
        <w:szCs w:val="16"/>
      </w:rPr>
      <w:t xml:space="preserve">Yağmur Yeşilyurt | Nav1.5 N347K | fpocket Analysis | </w:t>
    </w: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14"/>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80" w:after="120"/>
      <w:outlineLvl w:val="0"/>
    </w:pPr>
    <w:rPr>
      <w:rFonts w:ascii="Arial" w:hAnsi="Arial" w:eastAsia="Arial" w:cs="Arial"/>
      <w:b/>
      <w:bCs/>
      <w:color w:val="1C3557"/>
      <w:sz w:val="28"/>
      <w:szCs w:val="28"/>
    </w:rPr>
  </w:style>
  <w:style w:type="paragraph" w:styleId="Heading2">
    <w:name w:val="Heading 2"/>
    <w:basedOn w:val="Heading"/>
    <w:qFormat/>
    <w:pPr>
      <w:spacing w:before="200" w:after="80"/>
      <w:outlineLvl w:val="1"/>
    </w:pPr>
    <w:rPr>
      <w:rFonts w:ascii="Arial" w:hAnsi="Arial" w:eastAsia="Arial" w:cs="Arial"/>
      <w:b/>
      <w:bCs/>
      <w:color w:val="2E6DA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899</Words>
  <Characters>5142</Characters>
  <CharactersWithSpaces>5958</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2026-06-07T18:28:04Z</dcterms:created>
  <dc:creator>Un-named</dc:creator>
  <dc:description/>
  <dc:language>en-US</dc:language>
  <cp:lastModifiedBy/>
  <dcterms:modified xsi:type="dcterms:W3CDTF">2026-06-11T13:05:45Z</dcterms:modified>
  <cp:revision>2</cp:revision>
  <dc:subject/>
  <dc:title/>
</cp:coreProperties>
</file>