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both"/>
        <w:rPr/>
      </w:pPr>
      <w:r>
        <w:rPr>
          <w:rFonts w:eastAsia="Arial" w:cs="Arial"/>
          <w:b/>
          <w:bCs/>
          <w:color w:val="1C3557"/>
          <w:sz w:val="36"/>
          <w:szCs w:val="36"/>
        </w:rPr>
        <w:t>Binding Site Detection — Nav1.5 N347K (holoMutant, Ligand Removed)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color w:val="666666"/>
          <w:sz w:val="24"/>
          <w:szCs w:val="24"/>
        </w:rPr>
        <w:t>fpocket Analysis — Induced Fit Effect on Druggable Cavities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color w:val="888888"/>
          <w:sz w:val="20"/>
          <w:szCs w:val="20"/>
        </w:rPr>
        <w:t>Yağmur Yeşilyurt | SIS2E PhD Fellow | UniBicocca | June 2026</w:t>
      </w:r>
    </w:p>
    <w:p>
      <w:pPr>
        <w:pStyle w:val="Normal"/>
        <w:pBdr>
          <w:bottom w:val="single" w:sz="6" w:space="1" w:color="1C3557"/>
        </w:pBdr>
        <w:spacing w:before="0" w:after="200"/>
        <w:jc w:val="both"/>
        <w:rPr/>
      </w:pPr>
      <w:r>
        <w:rPr/>
      </w:r>
    </w:p>
    <w:p>
      <w:pPr>
        <w:pStyle w:val="Heading1"/>
        <w:pBdr>
          <w:bottom w:val="single" w:sz="4" w:space="1" w:color="1C3557"/>
        </w:pBdr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Method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representative frame of the holoMutant (N347K + neutral mexiletine) trajectory (index 4835) was used. Mexiletine (UNL) was removed from the PDB file and fpocket was run on the ligand-free protein structure to detect druggable cavities in the protein conformation shaped by mexiletine binding. This approach reveals the induced fit effect — how mexiletine binding reshapes the protein cavities compared to the apoMutant conformation. A total of 135 pockets were detected.</w:t>
      </w:r>
    </w:p>
    <w:p>
      <w:pPr>
        <w:pStyle w:val="Heading1"/>
        <w:pBdr>
          <w:bottom w:val="single" w:sz="4" w:space="1" w:color="1C3557"/>
        </w:pBdr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Results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Overview — Top Druggable Pockets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Removing the ligand from the holoMutant conformation reveals dramatically enlarged and more druggable pockets compared to apoMutant, consistent with an induced fit mechanism. Table 1 summarises the top pockets.</w:t>
      </w:r>
    </w:p>
    <w:p>
      <w:pPr>
        <w:pStyle w:val="Normal"/>
        <w:spacing w:before="120" w:after="80"/>
        <w:jc w:val="both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1500"/>
        <w:gridCol w:w="1500"/>
        <w:gridCol w:w="1800"/>
        <w:gridCol w:w="3027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Pocket</w:t>
            </w:r>
          </w:p>
        </w:tc>
        <w:tc>
          <w:tcPr>
            <w:tcW w:w="1500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500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Druggability</w:t>
            </w:r>
          </w:p>
        </w:tc>
        <w:tc>
          <w:tcPr>
            <w:tcW w:w="1800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Volume (Å³)</w:t>
            </w:r>
          </w:p>
        </w:tc>
        <w:tc>
          <w:tcPr>
            <w:tcW w:w="3027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0.010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1.000 ★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2591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Domain IV S6 + Domain III/IV junction (merged cavity)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135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0.543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Domain III S6 + Domain I — fenestration region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0.053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0.303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539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Domain III VSD — allosteric region</w:t>
            </w:r>
          </w:p>
        </w:tc>
      </w:tr>
    </w:tbl>
    <w:p>
      <w:pPr>
        <w:pStyle w:val="Normal"/>
        <w:spacing w:before="60" w:after="120"/>
        <w:jc w:val="both"/>
        <w:rPr/>
      </w:pPr>
      <w:r>
        <w:rPr>
          <w:rFonts w:eastAsia="Arial" w:cs="Arial"/>
          <w:color w:val="666666"/>
          <w:sz w:val="18"/>
          <w:szCs w:val="18"/>
        </w:rPr>
        <w:t>Table 1. Top 3 druggable pockets in holoMutant (ligand removed). Note the dramatically higher druggability scores compared to apoMutant.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Pocket 21 — Merged Domain IV S6 + Domain III/IV Junction (Druggability 1.000)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Pocket 21 is the largest and most druggable cavity detected, with a Druggability Score of 1.000 (maximum) and a volume of 2,591 Å³ — twice the size of the corresponding apoMutant pocket. This cavity encompasses both the classical Domain IV S6 binding site and the Domain III/IV junction region simultaneously, suggesting that mexiletine binding induces a conformational change that merges these two sites into a single extended cavity.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Key residues:</w:t>
      </w:r>
    </w:p>
    <w:p>
      <w:pPr>
        <w:pStyle w:val="ListParagraph"/>
        <w:numPr>
          <w:ilvl w:val="0"/>
          <w:numId w:val="3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PHE1760, TYR1767 (Domain IV S6) — critical LA binding residues, π–π interactions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TYR1409, LEU1410, LEU1413, ALA1416, THR1417, PHE1418, LYS1419 (Domain IV S6) — S6 lining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LEU1462, SER1458, THR1461, PHE1465 (Domain IV S6) — hydrophobic core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TRP1713, SER1710, THR1708, THR1709, ILE1707 (Domain IV S5-S6) — junction region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LEU1717, LEU1721 (Domain III/IV junction) — protonated mex contact residues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VAL1400, LYS1399, TRP1345, CYS1341, LEU1338, LEU1342 (Domain III S6) — extended cavity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PHE1705, PHE1752, ILE1749, ILE1756, ILE1757, VAL1763, MET1766 (Domain IV inner helix)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LEU1664, PHE1665, GLY1661 (Domain III-IV linker)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This merged cavity is consistent with the induced fit model: neutral mexiletine binding at Domain IV S6 reshapes the protein to extend the pocket toward Domain III/IV, creating a larger cavity that accommodates different drug orientations.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Pocket 135 — Domain III Fenestration (Druggability 0.990)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Pocket 135 has a Druggability Score of 0.990 and a volume of 2,017 Å³. Key residues: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ARG1632, ARG1635, ARG1638, ARG1644 (Domain III S4) — voltage sensor arginines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ILE1630, GLY1631, ILE1633, ILE1637, LEU1634, LEU1647, LEU1650 (Domain III S5-S6)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PHE1522, PHE1530, PHE1571, PHE1594 (Domain III) — aromatic lining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ASP1531, ASP1595, GLU1574 — charged residues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TRP1591, ASN1589, ASN1592 — polar contacts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This large hydrophobic pocket in the Domain III fenestration region is consistent with the tonic block entry route proposed for local anaesthetics — where drugs access the inner pore through the lipid-facing fenestration between Domain III and the membrane.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Pocket 9 — Domain III VSD (Druggability 0.303)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Pocket 9 contains residues ARG1312, ARG1316, PHE1250, PHE1263, TYR1266, ASP1275, ASP1280 — consistent with the allosteric DIII-VSD site described for mexiletine modulation of inactivation gating. This pocket is structurally conserved across both apoMutant and holoMutant conformations.</w:t>
      </w:r>
    </w:p>
    <w:p>
      <w:pPr>
        <w:pStyle w:val="Heading1"/>
        <w:pBdr>
          <w:bottom w:val="single" w:sz="4" w:space="1" w:color="1C3557"/>
        </w:pBdr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Comparison: apoMutant vs holoMutant fpocket</w:t>
      </w:r>
    </w:p>
    <w:p>
      <w:pPr>
        <w:pStyle w:val="Normal"/>
        <w:spacing w:before="80" w:after="80"/>
        <w:jc w:val="both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500"/>
        <w:gridCol w:w="1501"/>
        <w:gridCol w:w="1500"/>
        <w:gridCol w:w="17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Binding Region</w:t>
            </w:r>
          </w:p>
        </w:tc>
        <w:tc>
          <w:tcPr>
            <w:tcW w:w="1500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apoMutant Druggability</w:t>
            </w:r>
          </w:p>
        </w:tc>
        <w:tc>
          <w:tcPr>
            <w:tcW w:w="1501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holoMutant Druggability</w:t>
            </w:r>
          </w:p>
        </w:tc>
        <w:tc>
          <w:tcPr>
            <w:tcW w:w="1500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Δ Volume (Å³)</w:t>
            </w:r>
          </w:p>
        </w:tc>
        <w:tc>
          <w:tcPr>
            <w:tcW w:w="1726" w:type="dxa"/>
            <w:tcBorders>
              <w:top w:val="single" w:sz="2" w:space="0" w:color="1C3557"/>
              <w:left w:val="single" w:sz="2" w:space="0" w:color="1C3557"/>
              <w:bottom w:val="single" w:sz="2" w:space="0" w:color="1C3557"/>
              <w:right w:val="single" w:sz="2" w:space="0" w:color="1C3557"/>
            </w:tcBorders>
            <w:shd w:fill="1C3557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Domain IV S6 (PHE1760)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0.970 (Pocket 2)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1.000 (Pocket 21)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+1279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Induced fit — pocket expands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Domain III/IV junction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0.873 (Pocket 13)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Merged into Pocket 21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Two sites merge after binding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Domain III fenestration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0.990 (Pocket 135)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2017 (new)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B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New cavity opens after binding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Domain III VSD (allosteric)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0.747 (Pocket 8)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0.303 (Pocket 9)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Slight reduction after binding</w:t>
            </w:r>
          </w:p>
        </w:tc>
      </w:tr>
    </w:tbl>
    <w:p>
      <w:pPr>
        <w:pStyle w:val="Normal"/>
        <w:spacing w:before="60" w:after="120"/>
        <w:jc w:val="both"/>
        <w:rPr/>
      </w:pPr>
      <w:r>
        <w:rPr>
          <w:rFonts w:eastAsia="Arial" w:cs="Arial"/>
          <w:color w:val="666666"/>
          <w:sz w:val="18"/>
          <w:szCs w:val="18"/>
        </w:rPr>
        <w:t>Table 2. Comparison of druggable pockets between apoMutant and holoMutant (ligand removed) conformations.</w:t>
      </w:r>
    </w:p>
    <w:p>
      <w:pPr>
        <w:pStyle w:val="Heading1"/>
        <w:pBdr>
          <w:bottom w:val="single" w:sz="4" w:space="1" w:color="1C3557"/>
        </w:pBdr>
        <w:spacing w:before="28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Conclusion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fpocket analysis of the holoMutant representative frame (ligand removed) reveals a pronounced induced fit effect compared to apoMutant: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Pocket 21 (Druggability 1.000, Volume 2,591 Å³): the Domain IV S6 and Domain III/IV junction sites merge into a single extended cavity after mexiletine binding. This is the largest and most druggable pocket identified across all analyses.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Pocket 135 (Druggability 0.990): a large Domain III fenestration cavity opens specifically in the holoMutant conformation, consistent with the tonic block entry route.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The allosteric DIII-VSD pocket (Pocket 9, Druggability 0.303) is conserved but reduced, consistent with partial stabilisation by drug binding.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Together with the apoMutant fpocket results and the MD simulation data, these findings support a two-site binding model for mexiletine in Nav1.5 N347K: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Primary site: Domain IV S6 (PHE1760, TYR1767) — classical LA binding, confirmed by neutral mexiletine MD and fpocket in both conformations.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Secondary site: Domain III/IV junction (ASP1714, ASP1423) — physiologically relevant for protonated mexiletine, confirmed by 500 ns MD (ΔG = −15.01 kcal/mol) and fpocket Pocket 13/21.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/>
          <w:bCs/>
          <w:sz w:val="22"/>
          <w:szCs w:val="22"/>
        </w:rPr>
        <w:t>Next step: targeted docking into Pocket 21 (holoMutant conformation) and Pocket 2 (apoMutant conformation) with protonated mexiletine to obtain comparative docking scores.</w:t>
      </w:r>
    </w:p>
    <w:sectPr>
      <w:footerReference w:type="default" r:id="rId2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6"/>
        <w:szCs w:val="16"/>
      </w:rPr>
      <w:t xml:space="preserve">Yağmur Yeşilyurt | Nav1.5 N347K | fpocket holoMutant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14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843</Words>
  <Characters>4934</Characters>
  <CharactersWithSpaces>5686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2026-06-07T18:36:07Z</dcterms:created>
  <dc:creator>Un-named</dc:creator>
  <dc:description/>
  <dc:language>en-US</dc:language>
  <cp:lastModifiedBy/>
  <dcterms:modified xsi:type="dcterms:W3CDTF">2026-06-11T13:04:53Z</dcterms:modified>
  <cp:revision>2</cp:revision>
  <dc:subject/>
  <dc:title/>
</cp:coreProperties>
</file>