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center"/>
        <w:rPr>
          <w:rFonts w:ascii="Times New Roman" w:hAnsi="Times New Roman"/>
          <w:b w:val="1"/>
          <w:bCs w:val="1"/>
          <w:sz w:val="24"/>
          <w:szCs w:val="24"/>
          <w:u w:color="000000"/>
          <w:rtl w:val="0"/>
        </w:rPr>
      </w:pPr>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center"/>
        <w:rPr>
          <w:rFonts w:ascii="Times New Roman" w:cs="Times New Roman" w:hAnsi="Times New Roman" w:eastAsia="Times New Roman"/>
          <w:b w:val="1"/>
          <w:bCs w:val="1"/>
          <w:sz w:val="24"/>
          <w:szCs w:val="24"/>
          <w:u w:color="000000"/>
          <w:rtl w:val="0"/>
        </w:rPr>
      </w:pPr>
      <w:r>
        <w:t>İSTANBUL 2025 AVRUPA PARA GENÇLİK OYUNLARI KONULU ANMA PULU BASIMI VE TEDAVÜLE SUNULMASI HAKKINDA LİSANS SÖZLEŞMESİ</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Fonts w:ascii="Times New Roman" w:cs="Times New Roman" w:hAnsi="Times New Roman" w:eastAsia="Times New Roman"/>
          <w:sz w:val="24"/>
          <w:szCs w:val="24"/>
          <w:u w:color="000000"/>
          <w:rtl w:val="0"/>
        </w:rPr>
      </w:pPr>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Fonts w:ascii="Times New Roman" w:cs="Times New Roman" w:hAnsi="Times New Roman" w:eastAsia="Times New Roman"/>
          <w:sz w:val="24"/>
          <w:szCs w:val="24"/>
          <w:u w:color="000000"/>
          <w:rtl w:val="0"/>
        </w:rPr>
      </w:pPr>
      <w:r>
        <w:t xml:space="preserve">İşbu Lisans Sözleşmesi (bundan sonra "Sözleşme" olarak ifade edilecektir); [KURUM_1] (bundan sonra "TMPK" olarak ifade edilecektir) ile [KURUM_2] (bundan sonra "[KURUM_3]" olarak ifade edilecektir) arasında (birlikte “Taraflar” olarak ifade edileceklerdir) akdedilmiştir. </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Fonts w:ascii="Times New Roman" w:cs="Times New Roman" w:hAnsi="Times New Roman" w:eastAsia="Times New Roman"/>
          <w:outline w:val="0"/>
          <w:color w:val="000000"/>
          <w:u w:color="000000"/>
          <w:rtl w:val="0"/>
          <w14:textFill>
            <w14:solidFill>
              <w14:srgbClr w14:val="000000"/>
            </w14:solidFill>
          </w14:textFill>
        </w:rPr>
      </w:pPr>
      <w:r>
        <w:t>MADDE 1- TARAFLAR VE İLETİŞİM BİLGİLERİ</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Fonts w:ascii="Times New Roman" w:cs="Times New Roman" w:hAnsi="Times New Roman" w:eastAsia="Times New Roman"/>
          <w:sz w:val="24"/>
          <w:szCs w:val="24"/>
          <w:u w:val="single" w:color="000000"/>
          <w:rtl w:val="0"/>
        </w:rPr>
      </w:pPr>
      <w:r>
        <w:t xml:space="preserve">[KURUM_3] - [KURUM_2] </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2124" w:right="0" w:hanging="2124"/>
        <w:jc w:val="both"/>
        <w:rPr>
          <w:rFonts w:ascii="Times New Roman" w:cs="Times New Roman" w:hAnsi="Times New Roman" w:eastAsia="Times New Roman"/>
          <w:sz w:val="24"/>
          <w:szCs w:val="24"/>
          <w:u w:color="000000"/>
          <w:rtl w:val="0"/>
        </w:rPr>
      </w:pPr>
      <w:r>
        <w:t>Adres</w:t>
        <w:tab/>
        <w:tab/>
        <w:t xml:space="preserve">: [ADRES_1]                 </w:t>
        <w:br/>
        <w:t>MAHALLE: [MAHALLE_1]</w:t>
        <w:br/>
        <w:t>CADDE: [CADDE_1]</w:t>
        <w:br/>
        <w:t>NO: [NO_1]</w:t>
        <w:br/>
        <w:t>KAT: [KAT_1]</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2124" w:right="0" w:firstLine="0"/>
        <w:jc w:val="both"/>
        <w:rPr>
          <w:rFonts w:ascii="Times New Roman" w:cs="Times New Roman" w:hAnsi="Times New Roman" w:eastAsia="Times New Roman"/>
          <w:sz w:val="24"/>
          <w:szCs w:val="24"/>
          <w:u w:color="000000"/>
          <w:rtl w:val="0"/>
        </w:rPr>
      </w:pPr>
      <w:r>
        <w:t xml:space="preserve"> </w:t>
        <w:tab/>
        <w:t xml:space="preserve">  Ulus Altındağ/ANKARA                                                                                                               </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Fonts w:ascii="Times New Roman" w:cs="Times New Roman" w:hAnsi="Times New Roman" w:eastAsia="Times New Roman"/>
          <w:sz w:val="24"/>
          <w:szCs w:val="24"/>
          <w:u w:color="000000"/>
          <w:rtl w:val="0"/>
        </w:rPr>
      </w:pPr>
      <w:r>
        <w:t>Vergi Dairesi</w:t>
        <w:tab/>
        <w:tab/>
        <w:tab/>
        <w:t>: Ankara Kurumlar Vergi Dairesi</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Fonts w:ascii="Times New Roman" w:cs="Times New Roman" w:hAnsi="Times New Roman" w:eastAsia="Times New Roman"/>
          <w:sz w:val="24"/>
          <w:szCs w:val="24"/>
          <w:u w:color="000000"/>
          <w:rtl w:val="0"/>
        </w:rPr>
      </w:pPr>
      <w:r>
        <w:t>Vergi Numarası</w:t>
        <w:tab/>
        <w:tab/>
        <w:t>: [VERGI_NUMARASI_1]</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Fonts w:ascii="Times New Roman" w:cs="Times New Roman" w:hAnsi="Times New Roman" w:eastAsia="Times New Roman"/>
          <w:b w:val="1"/>
          <w:bCs w:val="1"/>
          <w:sz w:val="24"/>
          <w:szCs w:val="24"/>
          <w:u w:color="000000"/>
          <w:rtl w:val="0"/>
        </w:rPr>
      </w:pPr>
      <w:r>
        <w:t xml:space="preserve">Ticaret Sicil </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Fonts w:ascii="Times New Roman" w:cs="Times New Roman" w:hAnsi="Times New Roman" w:eastAsia="Times New Roman"/>
          <w:sz w:val="24"/>
          <w:szCs w:val="24"/>
          <w:u w:color="000000"/>
          <w:rtl w:val="0"/>
        </w:rPr>
      </w:pPr>
      <w:r>
        <w:t>Numarası</w:t>
        <w:tab/>
        <w:tab/>
        <w:tab/>
        <w:t>: [TICARET_SICIL_1]</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Fonts w:ascii="Times New Roman" w:cs="Times New Roman" w:hAnsi="Times New Roman" w:eastAsia="Times New Roman"/>
          <w:sz w:val="24"/>
          <w:szCs w:val="24"/>
          <w:u w:color="000000"/>
          <w:rtl w:val="0"/>
        </w:rPr>
      </w:pPr>
      <w:r>
        <w:t xml:space="preserve">Mail          </w:t>
        <w:tab/>
        <w:tab/>
        <w:tab/>
        <w:t xml:space="preserve">: [E_POSTA_1] </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Bağlantı"/>
          <w:rFonts w:ascii="Times New Roman" w:cs="Times New Roman" w:hAnsi="Times New Roman" w:eastAsia="Times New Roman"/>
          <w:outline w:val="0"/>
          <w:color w:val="000000"/>
          <w:sz w:val="24"/>
          <w:szCs w:val="24"/>
          <w:u w:val="none" w:color="000000"/>
          <w:rtl w:val="0"/>
          <w14:textFill>
            <w14:solidFill>
              <w14:srgbClr w14:val="000000"/>
            </w14:solidFill>
          </w14:textFill>
        </w:rPr>
      </w:pPr>
      <w:r>
        <w:t xml:space="preserve">KEP          </w:t>
        <w:tab/>
        <w:tab/>
        <w:tab/>
        <w:t>: [E_POSTA_2]</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Hyperlink.0"/>
          <w:rFonts w:ascii="Times New Roman" w:cs="Times New Roman" w:hAnsi="Times New Roman" w:eastAsia="Times New Roman"/>
          <w:sz w:val="24"/>
          <w:szCs w:val="24"/>
          <w:u w:color="000000"/>
          <w:rtl w:val="0"/>
        </w:rPr>
      </w:pPr>
      <w:r>
        <w:t xml:space="preserve"> </w:t>
        <w:tab/>
        <w:t xml:space="preserve">      </w:t>
        <w:tab/>
        <w:tab/>
        <w:t xml:space="preserve"> </w:t>
        <w:tab/>
        <w:t xml:space="preserve">   [E_POSTA_3]</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Yok"/>
          <w:rFonts w:ascii="Times New Roman" w:cs="Times New Roman" w:hAnsi="Times New Roman" w:eastAsia="Times New Roman"/>
          <w:sz w:val="8"/>
          <w:szCs w:val="8"/>
          <w:u w:color="000000"/>
          <w:rtl w:val="0"/>
        </w:rPr>
      </w:pPr>
      <w:r>
        <w:t xml:space="preserve">          </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Hyperlink.0"/>
          <w:rFonts w:ascii="Times New Roman" w:cs="Times New Roman" w:hAnsi="Times New Roman" w:eastAsia="Times New Roman"/>
          <w:sz w:val="24"/>
          <w:szCs w:val="24"/>
          <w:u w:color="000000"/>
          <w:rtl w:val="0"/>
        </w:rPr>
      </w:pPr>
      <w:r>
        <w:t xml:space="preserve">Telefon    </w:t>
        <w:tab/>
        <w:tab/>
        <w:tab/>
        <w:t>: [TELEFON_1]</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Hyperlink.0"/>
          <w:rFonts w:ascii="Times New Roman" w:cs="Times New Roman" w:hAnsi="Times New Roman" w:eastAsia="Times New Roman"/>
          <w:sz w:val="24"/>
          <w:szCs w:val="24"/>
          <w:u w:color="000000"/>
          <w:rtl w:val="0"/>
        </w:rPr>
      </w:pPr>
      <w:r>
        <w:t xml:space="preserve">Temsilciler   </w:t>
        <w:tab/>
        <w:tab/>
        <w:tab/>
        <w:t>:[AD_SOYAD_1] ([UNVAN_1])</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2124" w:right="0" w:firstLine="708"/>
        <w:jc w:val="both"/>
        <w:rPr>
          <w:rStyle w:val="Hyperlink.0"/>
          <w:rFonts w:ascii="Times New Roman" w:cs="Times New Roman" w:hAnsi="Times New Roman" w:eastAsia="Times New Roman"/>
          <w:sz w:val="24"/>
          <w:szCs w:val="24"/>
          <w:u w:color="000000"/>
          <w:rtl w:val="0"/>
        </w:rPr>
      </w:pPr>
      <w:r>
        <w:t xml:space="preserve"> [AD_SOYAD_2] ([UNVAN_2])                              </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Yok"/>
          <w:rFonts w:ascii="Times New Roman" w:cs="Times New Roman" w:hAnsi="Times New Roman" w:eastAsia="Times New Roman"/>
          <w:outline w:val="0"/>
          <w:color w:val="00b050"/>
          <w:sz w:val="24"/>
          <w:szCs w:val="24"/>
          <w:u w:color="00b050"/>
          <w:rtl w:val="0"/>
          <w14:textFill>
            <w14:solidFill>
              <w14:srgbClr w14:val="00B050"/>
            </w14:solidFill>
          </w14:textFill>
        </w:rPr>
      </w:pPr>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60" w:lineRule="auto"/>
        <w:ind w:left="0" w:right="0" w:firstLine="0"/>
        <w:jc w:val="both"/>
        <w:rPr>
          <w:rStyle w:val="Yok"/>
          <w:rFonts w:ascii="Times New Roman" w:cs="Times New Roman" w:hAnsi="Times New Roman" w:eastAsia="Times New Roman"/>
          <w:sz w:val="24"/>
          <w:szCs w:val="24"/>
          <w:u w:val="single" w:color="000000"/>
          <w:rtl w:val="0"/>
        </w:rPr>
      </w:pPr>
      <w:r>
        <w:t>TMPK- [KURUM_1]</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Hyperlink.0"/>
          <w:rFonts w:ascii="Times New Roman" w:cs="Times New Roman" w:hAnsi="Times New Roman" w:eastAsia="Times New Roman"/>
          <w:sz w:val="24"/>
          <w:szCs w:val="24"/>
          <w:u w:color="000000"/>
          <w:rtl w:val="0"/>
        </w:rPr>
      </w:pPr>
      <w:r>
        <w:t>Adres</w:t>
        <w:tab/>
        <w:tab/>
        <w:tab/>
        <w:tab/>
        <w:t xml:space="preserve">: [ADRES_2] Harmancı Giz Plaza Kat: 21 </w:t>
        <w:br/>
        <w:t>MAHALLE: [MAHALLE_2]</w:t>
        <w:br/>
        <w:t>CADDE: [CADDE_2]</w:t>
        <w:br/>
        <w:t>NO: [NO_2]</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2832" w:right="0" w:firstLine="0"/>
        <w:jc w:val="both"/>
        <w:rPr>
          <w:rStyle w:val="Hyperlink.0"/>
          <w:rFonts w:ascii="Times New Roman" w:cs="Times New Roman" w:hAnsi="Times New Roman" w:eastAsia="Times New Roman"/>
          <w:sz w:val="24"/>
          <w:szCs w:val="24"/>
          <w:u w:color="000000"/>
          <w:rtl w:val="0"/>
        </w:rPr>
      </w:pPr>
      <w:r>
        <w:t xml:space="preserve">  Şişli/İSTANBUL</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Hyperlink.0"/>
          <w:rFonts w:ascii="Times New Roman" w:cs="Times New Roman" w:hAnsi="Times New Roman" w:eastAsia="Times New Roman"/>
          <w:sz w:val="24"/>
          <w:szCs w:val="24"/>
          <w:u w:color="000000"/>
          <w:rtl w:val="0"/>
        </w:rPr>
      </w:pPr>
      <w:r>
        <w:t>Vergi Numarası</w:t>
        <w:tab/>
        <w:tab/>
        <w:t>: [VERGI_NUMARASI_2]</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Hyperlink.0"/>
          <w:rFonts w:ascii="Times New Roman" w:cs="Times New Roman" w:hAnsi="Times New Roman" w:eastAsia="Times New Roman"/>
          <w:sz w:val="24"/>
          <w:szCs w:val="24"/>
          <w:u w:color="000000"/>
          <w:rtl w:val="0"/>
        </w:rPr>
      </w:pPr>
      <w:r>
        <w:t>Dernek Kütük Numarası</w:t>
        <w:tab/>
        <w:t>: [DERNEK_KUTUK_1]</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Hyperlink.0"/>
          <w:rFonts w:ascii="Times New Roman" w:cs="Times New Roman" w:hAnsi="Times New Roman" w:eastAsia="Times New Roman"/>
          <w:sz w:val="24"/>
          <w:szCs w:val="24"/>
          <w:u w:color="000000"/>
          <w:rtl w:val="0"/>
        </w:rPr>
      </w:pPr>
      <w:r>
        <w:t>Mail</w:t>
        <w:tab/>
        <w:t xml:space="preserve">                              </w:t>
        <w:tab/>
        <w:t>: [E_POSTA_4]</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Hyperlink.0"/>
          <w:rFonts w:ascii="Times New Roman" w:cs="Times New Roman" w:hAnsi="Times New Roman" w:eastAsia="Times New Roman"/>
          <w:sz w:val="24"/>
          <w:szCs w:val="24"/>
          <w:u w:color="000000"/>
          <w:rtl w:val="0"/>
        </w:rPr>
      </w:pPr>
      <w:r>
        <w:t>Telefon</w:t>
        <w:tab/>
        <w:t xml:space="preserve">                 </w:t>
        <w:tab/>
        <w:t>: [TELEFON_2]</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Hyperlink.0"/>
          <w:rFonts w:ascii="Times New Roman" w:cs="Times New Roman" w:hAnsi="Times New Roman" w:eastAsia="Times New Roman"/>
          <w:sz w:val="24"/>
          <w:szCs w:val="24"/>
          <w:u w:color="000000"/>
          <w:rtl w:val="0"/>
        </w:rPr>
      </w:pPr>
      <w:r>
        <w:t>Temsilci</w:t>
        <w:tab/>
        <w:t xml:space="preserve">                 </w:t>
        <w:tab/>
        <w:t>: [AD_SOYAD_3] ([UNVAN_3])</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outline w:val="0"/>
          <w:color w:val="000000"/>
          <w:u w:color="000000"/>
          <w:rtl w:val="0"/>
          <w14:textFill>
            <w14:solidFill>
              <w14:srgbClr w14:val="000000"/>
            </w14:solidFill>
          </w14:textFill>
        </w:rPr>
      </w:pPr>
      <w:r>
        <w:t xml:space="preserve">MADDE 2- SÖZLEŞMENİN KONUSU </w:t>
      </w:r>
    </w:p>
    <w:p>
      <w:pPr>
        <w:pStyle w:val="Saptanmış"/>
        <w:numPr>
          <w:ilvl w:val="0"/>
          <w:numId w:val="2"/>
        </w:numPr>
        <w:spacing w:before="0" w:line="240" w:lineRule="auto"/>
        <w:jc w:val="both"/>
        <w:rPr>
          <w:rFonts w:ascii="Times New Roman" w:hAnsi="Times New Roman" w:hint="default"/>
          <w:u w:color="000000"/>
        </w:rPr>
      </w:pPr>
      <w:r>
        <w:t>İşbu Sözleşme [KURUM_3] tarafından [TARIH_1] tarihinde tedavüle sunulacak olan “İstanbul 2025 Avrupa Para Gençlik Oyunları” konulu anma pulu ve diğer filatelik ürünlere ilişkin yasal hakları TMPK’ye ait olan, “İstanbul 2025 Avrupa Para Gençlik Oyunları” adının kullanımı ile logo ve görsellere ait basım hakkının [KURUM_3]’ne verilmesine ilişkin hak ve sorumlulukları düzenlemektedir.</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Yok"/>
          <w:rFonts w:ascii="Times New Roman" w:cs="Times New Roman" w:hAnsi="Times New Roman" w:eastAsia="Times New Roman"/>
          <w:b w:val="1"/>
          <w:bCs w:val="1"/>
          <w:sz w:val="24"/>
          <w:szCs w:val="24"/>
          <w:u w:color="000000"/>
          <w:rtl w:val="0"/>
        </w:rPr>
      </w:pPr>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Yok"/>
          <w:rFonts w:ascii="Times New Roman" w:cs="Times New Roman" w:hAnsi="Times New Roman" w:eastAsia="Times New Roman"/>
          <w:b w:val="1"/>
          <w:bCs w:val="1"/>
          <w:sz w:val="24"/>
          <w:szCs w:val="24"/>
          <w:u w:color="000000"/>
          <w:rtl w:val="0"/>
        </w:rPr>
      </w:pPr>
      <w:r>
        <w:t>MADDE 3-SÖZLEŞMENİN UYGULANACAĞI ALAN</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Yok"/>
          <w:rFonts w:ascii="Times New Roman" w:cs="Times New Roman" w:hAnsi="Times New Roman" w:eastAsia="Times New Roman"/>
          <w:b w:val="1"/>
          <w:bCs w:val="1"/>
          <w:sz w:val="24"/>
          <w:szCs w:val="24"/>
          <w:u w:color="000000"/>
          <w:rtl w:val="0"/>
        </w:rPr>
      </w:pPr>
      <w:r/>
    </w:p>
    <w:p>
      <w:pPr>
        <w:pStyle w:val="Saptanmış"/>
        <w:numPr>
          <w:ilvl w:val="0"/>
          <w:numId w:val="2"/>
        </w:numPr>
        <w:spacing w:before="0" w:line="240" w:lineRule="auto"/>
        <w:jc w:val="both"/>
        <w:rPr>
          <w:rFonts w:ascii="Times New Roman" w:hAnsi="Times New Roman"/>
          <w:b w:val="1"/>
          <w:bCs w:val="1"/>
          <w:u w:color="000000"/>
        </w:rPr>
      </w:pPr>
      <w:r>
        <w:t>[KURUM_3], TMPK'nin belirleyeceği ve Taraflarca yazılı mutabakata varılacak tasarım çerçevesinde anma pullarını bastıracak ve tedavüle sunacaktır.</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outline w:val="0"/>
          <w:color w:val="000000"/>
          <w:u w:color="000000"/>
          <w:rtl w:val="0"/>
          <w14:textFill>
            <w14:solidFill>
              <w14:srgbClr w14:val="000000"/>
            </w14:solidFill>
          </w14:textFill>
        </w:rPr>
      </w:pPr>
      <w:r>
        <w:t>MADDE 4 - TARAFLARIN HAK VE YÜKÜMLÜLÜKLERİ</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outline w:val="0"/>
          <w:color w:val="000000"/>
          <w:u w:color="000000"/>
          <w:rtl w:val="0"/>
          <w14:textFill>
            <w14:solidFill>
              <w14:srgbClr w14:val="000000"/>
            </w14:solidFill>
          </w14:textFill>
        </w:rPr>
      </w:pPr>
      <w:r>
        <w:t>4.1. [KURUM_3]'nin Yükümlülükleri:</w:t>
      </w:r>
    </w:p>
    <w:p>
      <w:pPr>
        <w:pStyle w:val="Saptanmış"/>
        <w:numPr>
          <w:ilvl w:val="0"/>
          <w:numId w:val="4"/>
        </w:numPr>
        <w:spacing w:before="100" w:after="100" w:line="240" w:lineRule="auto"/>
        <w:jc w:val="both"/>
        <w:rPr>
          <w:rFonts w:ascii="Times New Roman" w:hAnsi="Times New Roman"/>
          <w:u w:color="000000"/>
        </w:rPr>
      </w:pPr>
      <w:r>
        <w:t>[KURUM_3], anma pulunun basımı ve tedavülü karşılığında [TUTAR_1] (Kırk Beş Bin Türk Lirası) lisans bedelini Sözleşme’nin imza tarihinden itibaren 30 gün içerisinde TMPK’nin aşağıdaki banka hesabına ödeyecektir.</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40" w:lineRule="auto"/>
        <w:ind w:left="851" w:right="0" w:hanging="142"/>
        <w:jc w:val="both"/>
        <w:outlineLvl w:val="9"/>
        <w:rPr>
          <w:rStyle w:val="Yok"/>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pPr>
      <w:r>
        <w:t>Hesap adı : [KURUM_1]</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40" w:lineRule="auto"/>
        <w:ind w:left="709" w:right="0" w:firstLine="0"/>
        <w:jc w:val="both"/>
        <w:outlineLvl w:val="9"/>
        <w:rPr>
          <w:rStyle w:val="Yok"/>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pPr>
      <w:r>
        <w:t>Banka       : [BANKA_ADI_1]</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40" w:lineRule="auto"/>
        <w:ind w:left="709" w:right="0" w:firstLine="0"/>
        <w:jc w:val="both"/>
        <w:outlineLvl w:val="9"/>
        <w:rPr>
          <w:rStyle w:val="Yok"/>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pPr>
      <w:r>
        <w:t>Şube​         :  [SUBE_1]</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40" w:lineRule="auto"/>
        <w:ind w:left="709" w:right="0" w:firstLine="0"/>
        <w:jc w:val="both"/>
        <w:outlineLvl w:val="9"/>
        <w:rPr>
          <w:rStyle w:val="Yok"/>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7"/>
          <w:szCs w:val="27"/>
          <w:u w:val="none" w:color="000000"/>
          <w:shd w:val="nil" w:color="auto" w:fill="auto"/>
          <w:vertAlign w:val="baseline"/>
          <w:rtl w:val="0"/>
          <w14:textOutline>
            <w14:noFill/>
          </w14:textOutline>
          <w14:textFill>
            <w14:solidFill>
              <w14:srgbClr w14:val="000000"/>
            </w14:solidFill>
          </w14:textFill>
        </w:rPr>
      </w:pPr>
      <w:r>
        <w:t>IBAN ​       : [IBAN_1]</w:t>
      </w:r>
    </w:p>
    <w:p>
      <w:pPr>
        <w:pStyle w:val="Saptanmış"/>
        <w:numPr>
          <w:ilvl w:val="0"/>
          <w:numId w:val="4"/>
        </w:numPr>
        <w:spacing w:before="100" w:after="100" w:line="240" w:lineRule="auto"/>
        <w:jc w:val="both"/>
        <w:rPr>
          <w:rFonts w:ascii="Times New Roman" w:hAnsi="Times New Roman"/>
          <w:u w:color="000000"/>
        </w:rPr>
      </w:pPr>
      <w:r>
        <w:t>[KURUM_3], 50 adet özel anma zarf pulunu TMPK’nin Sözleşme’de belirtilen adresine teslim edecektir.</w:t>
      </w:r>
    </w:p>
    <w:p>
      <w:pPr>
        <w:pStyle w:val="Saptanmış"/>
        <w:numPr>
          <w:ilvl w:val="0"/>
          <w:numId w:val="4"/>
        </w:numPr>
        <w:spacing w:before="100" w:after="100" w:line="240" w:lineRule="auto"/>
        <w:jc w:val="both"/>
        <w:rPr>
          <w:rFonts w:ascii="Times New Roman" w:hAnsi="Times New Roman"/>
          <w:u w:color="000000"/>
        </w:rPr>
      </w:pPr>
      <w:r>
        <w:t>[KURUM_3], anma pullarının satış ve dağıtım hakkını elinde bulunduracaktır.</w:t>
      </w:r>
    </w:p>
    <w:p>
      <w:pPr>
        <w:pStyle w:val="Saptanmış"/>
        <w:numPr>
          <w:ilvl w:val="0"/>
          <w:numId w:val="4"/>
        </w:numPr>
        <w:spacing w:before="100" w:after="100" w:line="240" w:lineRule="auto"/>
        <w:jc w:val="both"/>
        <w:rPr>
          <w:rFonts w:ascii="Times New Roman" w:hAnsi="Times New Roman"/>
          <w:u w:color="000000"/>
        </w:rPr>
      </w:pPr>
      <w:r>
        <w:t xml:space="preserve">[KURUM_3], işbu Sözleşme’nin konusu olan anma pullarının basımı ve tedavülü amacı dışında TMPK’nin rızası olmaksızın herhangi bir basım, yayım ve tedavül faaliyetlerinde bulunmayacak ve işbu Sözleşme kapsamında kendisine tanınan sınırlı ve devredilemez lisans hakkı dışında herhangi bir hak ileri sürmeyecektir. </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outline w:val="0"/>
          <w:color w:val="000000"/>
          <w:u w:color="000000"/>
          <w:rtl w:val="0"/>
          <w14:textFill>
            <w14:solidFill>
              <w14:srgbClr w14:val="000000"/>
            </w14:solidFill>
          </w14:textFill>
        </w:rPr>
      </w:pPr>
      <w:r>
        <w:t>4.2. TMPK'nin Yükümlülükleri:</w:t>
      </w:r>
    </w:p>
    <w:p>
      <w:pPr>
        <w:pStyle w:val="Saptanmış"/>
        <w:numPr>
          <w:ilvl w:val="0"/>
          <w:numId w:val="6"/>
        </w:numPr>
        <w:spacing w:before="100" w:after="100" w:line="240" w:lineRule="auto"/>
        <w:jc w:val="both"/>
        <w:rPr>
          <w:rFonts w:ascii="Times New Roman" w:hAnsi="Times New Roman"/>
          <w:u w:color="000000"/>
        </w:rPr>
      </w:pPr>
      <w:r>
        <w:t>TMPK, anma pulunun tasarımına ilişkin [KURUM_3] ile ortak çalışacak ve tasarımı nihai hale getirmek için gerekli desteği verecektir.</w:t>
      </w:r>
    </w:p>
    <w:p>
      <w:pPr>
        <w:pStyle w:val="Saptanmış"/>
        <w:numPr>
          <w:ilvl w:val="0"/>
          <w:numId w:val="6"/>
        </w:numPr>
        <w:spacing w:before="100" w:after="100" w:line="240" w:lineRule="auto"/>
        <w:jc w:val="both"/>
        <w:rPr>
          <w:rFonts w:ascii="Times New Roman" w:hAnsi="Times New Roman"/>
          <w:u w:color="000000"/>
        </w:rPr>
      </w:pPr>
      <w:r>
        <w:t>TMPK, Sözleşme konusu pulların lisans bedelini aldığına dair dekontu [KURUM_3]'ne ibraz edecektir.</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outline w:val="0"/>
          <w:color w:val="000000"/>
          <w:u w:color="000000"/>
          <w:rtl w:val="0"/>
          <w14:textFill>
            <w14:solidFill>
              <w14:srgbClr w14:val="000000"/>
            </w14:solidFill>
          </w14:textFill>
        </w:rPr>
      </w:pPr>
      <w:r>
        <w:t>MADDE 5- TELİF HAKLARI VE LİSANS</w:t>
      </w:r>
    </w:p>
    <w:p>
      <w:pPr>
        <w:pStyle w:val="Saptanmış"/>
        <w:numPr>
          <w:ilvl w:val="0"/>
          <w:numId w:val="8"/>
        </w:numPr>
        <w:spacing w:before="100" w:after="100" w:line="240" w:lineRule="auto"/>
        <w:jc w:val="both"/>
        <w:rPr>
          <w:rFonts w:ascii="Times New Roman" w:hAnsi="Times New Roman" w:hint="default"/>
          <w:b w:val="1"/>
          <w:bCs w:val="1"/>
          <w:u w:color="000000"/>
        </w:rPr>
      </w:pPr>
      <w:r>
        <w:t>İşbu Sözleşme ile TMPK, anma pullarının basımı ve satışı konusunda [KURUM_3]'ne sınırlı ve devredilemez bir lisans hakkı tanımaktadır. Taraflar, işbu Sözleşme’nin yalnızca bir lisans sözleşmesi olduğunun bilincindedir. TMPK, Sözleşme süresi boyunca Sözleşme konusu dışında kendine ait “İstanbul 2025 Avrupa Para Gençlik Oyunları” adı ile logo ve görsellerin kullanım ve basımında serbesttir. Bu Sözleşme’nin sona ermesinin ardından, [KURUM_3]’nin anılan sınırlı ve devredilemez bir lisans hakkı olmayacaktır.</w:t>
      </w:r>
    </w:p>
    <w:p>
      <w:pPr>
        <w:pStyle w:val="Saptanmış"/>
        <w:numPr>
          <w:ilvl w:val="0"/>
          <w:numId w:val="8"/>
        </w:numPr>
        <w:spacing w:before="100" w:after="100" w:line="240" w:lineRule="auto"/>
        <w:jc w:val="both"/>
        <w:rPr>
          <w:rFonts w:ascii="Times New Roman" w:hAnsi="Times New Roman"/>
          <w:u w:color="000000"/>
        </w:rPr>
      </w:pPr>
      <w:r>
        <w:t>[KURUM_3], TMPK’nin sahip olduğu fikri mülkiyet haklarına zarar verebilecek ve ticari etikle bağdaşmayan davranış ve faaliyetlerden kaçınmalıdır.</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left"/>
        <w:rPr>
          <w:rStyle w:val="Yok"/>
          <w:rFonts w:ascii="Times New Roman" w:cs="Times New Roman" w:hAnsi="Times New Roman" w:eastAsia="Times New Roman"/>
          <w:b w:val="1"/>
          <w:bCs w:val="1"/>
          <w:outline w:val="0"/>
          <w:color w:val="000000"/>
          <w:u w:color="000000"/>
          <w:rtl w:val="0"/>
          <w14:textFill>
            <w14:solidFill>
              <w14:srgbClr w14:val="000000"/>
            </w14:solidFill>
          </w14:textFill>
        </w:rPr>
      </w:pPr>
      <w:r>
        <w:t>MADDE 6-SÖZLEŞMENİN DEVRİ</w:t>
      </w:r>
    </w:p>
    <w:p>
      <w:pPr>
        <w:pStyle w:val="Saptanmış"/>
        <w:numPr>
          <w:ilvl w:val="0"/>
          <w:numId w:val="8"/>
        </w:numPr>
        <w:spacing w:before="100" w:after="100" w:line="240" w:lineRule="auto"/>
        <w:jc w:val="both"/>
        <w:rPr>
          <w:rFonts w:ascii="Times New Roman" w:hAnsi="Times New Roman"/>
          <w:u w:color="000000"/>
        </w:rPr>
      </w:pPr>
      <w:r>
        <w:t xml:space="preserve">TMPK, bu Sözleşme’den doğan telif haklarının [KURUM_3] dışında üçüncü taraflara devredilmeyeceğini kabul eder. [KURUM_3] de TMPK’dan almış olduğu kullanım haklarını üçüncü kişilere devredemeyecektir. </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b w:val="1"/>
          <w:bCs w:val="1"/>
          <w:outline w:val="0"/>
          <w:color w:val="000000"/>
          <w:u w:color="000000"/>
          <w:rtl w:val="0"/>
          <w14:textFill>
            <w14:solidFill>
              <w14:srgbClr w14:val="000000"/>
            </w14:solidFill>
          </w14:textFill>
        </w:rPr>
      </w:pPr>
      <w:r>
        <w:t>MADDE 7-VERGİLER</w:t>
      </w:r>
    </w:p>
    <w:p>
      <w:pPr>
        <w:pStyle w:val="Saptanmış"/>
        <w:numPr>
          <w:ilvl w:val="0"/>
          <w:numId w:val="8"/>
        </w:numPr>
        <w:spacing w:before="100" w:after="100" w:line="240" w:lineRule="auto"/>
        <w:jc w:val="both"/>
        <w:rPr>
          <w:rFonts w:ascii="Times New Roman" w:hAnsi="Times New Roman"/>
          <w:b w:val="1"/>
          <w:bCs w:val="1"/>
          <w:u w:color="000000"/>
        </w:rPr>
      </w:pPr>
      <w:r>
        <w:t xml:space="preserve">[KURUM_3], işbu Sözleşme’nin akdedilmesinden ve ifa edilmesinden kaynaklanan ve kaynaklanabilecek her türlü uygulanabilecek vergi, resim ve harçlardan sorumludur. </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b w:val="1"/>
          <w:bCs w:val="1"/>
          <w:outline w:val="0"/>
          <w:color w:val="000000"/>
          <w:u w:color="000000"/>
          <w:rtl w:val="0"/>
          <w14:textFill>
            <w14:solidFill>
              <w14:srgbClr w14:val="000000"/>
            </w14:solidFill>
          </w14:textFill>
        </w:rPr>
      </w:pPr>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Calibri" w:cs="Calibri" w:hAnsi="Calibri" w:eastAsia="Calibri"/>
          <w:b w:val="1"/>
          <w:bCs w:val="1"/>
          <w:outline w:val="0"/>
          <w:color w:val="000000"/>
          <w:u w:color="000000"/>
          <w:rtl w:val="0"/>
          <w14:textFill>
            <w14:solidFill>
              <w14:srgbClr w14:val="000000"/>
            </w14:solidFill>
          </w14:textFill>
        </w:rPr>
      </w:pPr>
      <w:r>
        <w:t xml:space="preserve">MADDE 8- SÖZLEŞMENİN SÜRESİ </w:t>
      </w:r>
    </w:p>
    <w:p>
      <w:pPr>
        <w:pStyle w:val="Saptanmış"/>
        <w:numPr>
          <w:ilvl w:val="0"/>
          <w:numId w:val="10"/>
        </w:numPr>
        <w:spacing w:before="100" w:after="100" w:line="240" w:lineRule="auto"/>
        <w:jc w:val="both"/>
        <w:rPr>
          <w:rFonts w:ascii="Times New Roman" w:hAnsi="Times New Roman"/>
          <w:u w:color="000000"/>
        </w:rPr>
      </w:pPr>
      <w:r>
        <w:t>Bu Sözleşme Taraflarca imzalandığı tarihten itibaren yürürlüğe girecek olup, 2025 Avrupa Para Gençlik Oyunları etkinliklerinin tamamlanmasından sonra 6 ay süreyle geçerli olacak, işbu sürenin bitiminde sona erecek ve yenilenmeyecektir.</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b w:val="1"/>
          <w:bCs w:val="1"/>
          <w:outline w:val="0"/>
          <w:color w:val="000000"/>
          <w:u w:color="000000"/>
          <w:rtl w:val="0"/>
          <w14:textFill>
            <w14:solidFill>
              <w14:srgbClr w14:val="000000"/>
            </w14:solidFill>
          </w14:textFill>
        </w:rPr>
      </w:pPr>
      <w:r>
        <w:t>MADDE 9-SÖZLEŞMENİN FESHİ</w:t>
      </w:r>
    </w:p>
    <w:p>
      <w:pPr>
        <w:pStyle w:val="Saptanmış"/>
        <w:numPr>
          <w:ilvl w:val="0"/>
          <w:numId w:val="10"/>
        </w:numPr>
        <w:spacing w:before="100" w:after="100" w:line="240" w:lineRule="auto"/>
        <w:jc w:val="both"/>
        <w:rPr>
          <w:rFonts w:ascii="Times New Roman" w:hAnsi="Times New Roman"/>
          <w:u w:color="000000"/>
        </w:rPr>
      </w:pPr>
      <w:r>
        <w:t>Taraflar’dan herhangi biri Sözleşme şartlarına uymadığı takdirde, diğer Taraf noter kanalıyla 30 gün önceden yazılı bildirimde bulunarak ihlalin giderilmesini talep edebilir, giderilmemesi halinde Sözleşme’yi feshedebilir.</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b w:val="1"/>
          <w:bCs w:val="1"/>
          <w:outline w:val="0"/>
          <w:color w:val="000000"/>
          <w:u w:color="000000"/>
          <w:rtl w:val="0"/>
          <w14:textFill>
            <w14:solidFill>
              <w14:srgbClr w14:val="000000"/>
            </w14:solidFill>
          </w14:textFill>
        </w:rPr>
      </w:pPr>
      <w:r>
        <w:t>MADDE 10-UYUŞMAZLIKLAR</w:t>
      </w:r>
    </w:p>
    <w:p>
      <w:pPr>
        <w:pStyle w:val="Saptanmış"/>
        <w:numPr>
          <w:ilvl w:val="0"/>
          <w:numId w:val="10"/>
        </w:numPr>
        <w:spacing w:before="100" w:after="100" w:line="240" w:lineRule="auto"/>
        <w:jc w:val="both"/>
        <w:rPr>
          <w:rFonts w:ascii="Times New Roman" w:hAnsi="Times New Roman" w:hint="default"/>
          <w:u w:color="000000"/>
        </w:rPr>
      </w:pPr>
      <w:r>
        <w:t>İşbu Sözleşme Türkiye Cumhuriyeti Hukuku’na tabii olacak ve Sözleşme’den doğabilecek anlaşmazlıkların çözümünde İstanbul Çağlayan Adliyesi ve İstanbul Çağlayan İcra Daireleri yetkili olacaktır.</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outline w:val="0"/>
          <w:color w:val="000000"/>
          <w:u w:color="000000"/>
          <w:rtl w:val="0"/>
          <w14:textFill>
            <w14:solidFill>
              <w14:srgbClr w14:val="000000"/>
            </w14:solidFill>
          </w14:textFill>
        </w:rPr>
      </w:pPr>
      <w:r>
        <w:t xml:space="preserve">MADDE 11- YÜRÜTME VE TEBLİGAT ADRESLERİ </w:t>
      </w:r>
    </w:p>
    <w:p>
      <w:pPr>
        <w:pStyle w:val="Saptanmış"/>
        <w:numPr>
          <w:ilvl w:val="0"/>
          <w:numId w:val="10"/>
        </w:numPr>
        <w:spacing w:before="100" w:after="100" w:line="240" w:lineRule="auto"/>
        <w:jc w:val="both"/>
        <w:rPr>
          <w:rFonts w:ascii="Times New Roman" w:hAnsi="Times New Roman"/>
          <w:u w:color="000000"/>
        </w:rPr>
      </w:pPr>
      <w:r>
        <w:t>Taraflar, işbu Sözleşme’de belirtilen adresleri tebligat adresi olarak kabul etmiş olup, adres değişikliği yazılı olarak bildirilmediği takdirde yapılacak tebligatlar geçerli sayılacaktır.</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outline w:val="0"/>
          <w:color w:val="000000"/>
          <w:u w:color="000000"/>
          <w:rtl w:val="0"/>
          <w14:textFill>
            <w14:solidFill>
              <w14:srgbClr w14:val="000000"/>
            </w14:solidFill>
          </w14:textFill>
        </w:rPr>
      </w:pPr>
      <w:r>
        <w:t>İşbu Sözleşme 3 (üç) nüsha, 11 (on bir) madde olmak üzere Taraflar’ın yetkili temsilcileri tarafından okunarak .../.../2025 tarihinde imza altına alınmıştır.</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Yok"/>
          <w:rFonts w:ascii="Times New Roman" w:cs="Times New Roman" w:hAnsi="Times New Roman" w:eastAsia="Times New Roman"/>
          <w:b w:val="1"/>
          <w:bCs w:val="1"/>
          <w:sz w:val="24"/>
          <w:szCs w:val="24"/>
          <w:u w:color="000000"/>
          <w:rtl w:val="0"/>
        </w:rPr>
      </w:pPr>
      <w:r/>
    </w:p>
    <w:tbl>
      <w:tblPr>
        <w:tblW w:w="928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44"/>
        <w:gridCol w:w="4645"/>
      </w:tblGrid>
      <w:tr>
        <w:tblPrEx>
          <w:shd w:val="clear" w:color="auto" w:fill="ced7e7"/>
        </w:tblPrEx>
        <w:trPr>
          <w:trHeight w:val="610" w:hRule="atLeast"/>
        </w:trPr>
        <w:tc>
          <w:tcPr>
            <w:tcW w:type="dxa" w:w="4644"/>
            <w:tcBorders>
              <w:top w:val="nil"/>
              <w:left w:val="nil"/>
              <w:bottom w:val="nil"/>
              <w:right w:val="nil"/>
            </w:tcBorders>
            <w:shd w:val="clear" w:color="auto" w:fill="auto"/>
            <w:tcMar>
              <w:top w:type="dxa" w:w="80"/>
              <w:left w:type="dxa" w:w="80"/>
              <w:bottom w:type="dxa" w:w="80"/>
              <w:right w:type="dxa" w:w="80"/>
            </w:tcMar>
            <w:vAlign w:val="top"/>
          </w:tcPr>
          <w:p>
            <w:r>
              <w:t>[KURUM_1]</w:t>
            </w:r>
          </w:p>
        </w:tc>
        <w:tc>
          <w:tcPr>
            <w:tcW w:type="dxa" w:w="4645"/>
            <w:tcBorders>
              <w:top w:val="nil"/>
              <w:left w:val="nil"/>
              <w:bottom w:val="nil"/>
              <w:right w:val="nil"/>
            </w:tcBorders>
            <w:shd w:val="clear" w:color="auto" w:fill="auto"/>
            <w:tcMar>
              <w:top w:type="dxa" w:w="80"/>
              <w:left w:type="dxa" w:w="80"/>
              <w:bottom w:type="dxa" w:w="80"/>
              <w:right w:type="dxa" w:w="80"/>
            </w:tcMar>
            <w:vAlign w:val="top"/>
          </w:tcPr>
          <w:p>
            <w:r>
              <w:t>[KURUM_2]</w:t>
            </w:r>
          </w:p>
        </w:tc>
      </w:tr>
      <w:tr>
        <w:tblPrEx>
          <w:shd w:val="clear" w:color="auto" w:fill="ced7e7"/>
        </w:tblPrEx>
        <w:trPr>
          <w:trHeight w:val="310" w:hRule="atLeast"/>
        </w:trPr>
        <w:tc>
          <w:tcPr>
            <w:tcW w:type="dxa" w:w="4644"/>
            <w:tcBorders>
              <w:top w:val="nil"/>
              <w:left w:val="nil"/>
              <w:bottom w:val="nil"/>
              <w:right w:val="nil"/>
            </w:tcBorders>
            <w:shd w:val="clear" w:color="auto" w:fill="e8ecf3"/>
            <w:tcMar>
              <w:top w:type="dxa" w:w="80"/>
              <w:left w:type="dxa" w:w="80"/>
              <w:bottom w:type="dxa" w:w="80"/>
              <w:right w:type="dxa" w:w="80"/>
            </w:tcMar>
            <w:vAlign w:val="top"/>
          </w:tcPr>
          <w:p>
            <w:r>
              <w:t>İmzalayan: [AD_SOYAD_4]</w:t>
            </w:r>
          </w:p>
        </w:tc>
        <w:tc>
          <w:tcPr>
            <w:tcW w:type="dxa" w:w="4645"/>
            <w:tcBorders>
              <w:top w:val="nil"/>
              <w:left w:val="nil"/>
              <w:bottom w:val="nil"/>
              <w:right w:val="nil"/>
            </w:tcBorders>
            <w:shd w:val="clear" w:color="auto" w:fill="e8ecf3"/>
            <w:tcMar>
              <w:top w:type="dxa" w:w="80"/>
              <w:left w:type="dxa" w:w="80"/>
              <w:bottom w:type="dxa" w:w="80"/>
              <w:right w:type="dxa" w:w="80"/>
            </w:tcMar>
            <w:vAlign w:val="top"/>
          </w:tcPr>
          <w:p>
            <w:r>
              <w:t>İmzalayan:</w:t>
            </w:r>
          </w:p>
        </w:tc>
      </w:tr>
      <w:tr>
        <w:tblPrEx>
          <w:shd w:val="clear" w:color="auto" w:fill="ced7e7"/>
        </w:tblPrEx>
        <w:trPr>
          <w:trHeight w:val="610" w:hRule="atLeast"/>
        </w:trPr>
        <w:tc>
          <w:tcPr>
            <w:tcW w:type="dxa" w:w="4644"/>
            <w:tcBorders>
              <w:top w:val="nil"/>
              <w:left w:val="nil"/>
              <w:bottom w:val="nil"/>
              <w:right w:val="nil"/>
            </w:tcBorders>
            <w:shd w:val="clear" w:color="auto" w:fill="auto"/>
            <w:tcMar>
              <w:top w:type="dxa" w:w="80"/>
              <w:left w:type="dxa" w:w="80"/>
              <w:bottom w:type="dxa" w:w="80"/>
              <w:right w:type="dxa" w:w="80"/>
            </w:tcMar>
            <w:vAlign w:val="top"/>
          </w:tcPr>
          <w:p>
            <w:r>
              <w:t>Unvan      : [UNVAN_4]</w:t>
            </w:r>
          </w:p>
        </w:tc>
        <w:tc>
          <w:tcPr>
            <w:tcW w:type="dxa" w:w="4645"/>
            <w:tcBorders>
              <w:top w:val="nil"/>
              <w:left w:val="nil"/>
              <w:bottom w:val="nil"/>
              <w:right w:val="nil"/>
            </w:tcBorders>
            <w:shd w:val="clear" w:color="auto" w:fill="auto"/>
            <w:tcMar>
              <w:top w:type="dxa" w:w="80"/>
              <w:left w:type="dxa" w:w="80"/>
              <w:bottom w:type="dxa" w:w="80"/>
              <w:right w:type="dxa" w:w="80"/>
            </w:tcMar>
            <w:vAlign w:val="top"/>
          </w:tcPr>
          <w:p>
            <w:r>
              <w:t>Unvan      :</w:t>
            </w:r>
          </w:p>
        </w:tc>
      </w:tr>
      <w:tr>
        <w:tblPrEx>
          <w:shd w:val="clear" w:color="auto" w:fill="ced7e7"/>
        </w:tblPrEx>
        <w:trPr>
          <w:trHeight w:val="310" w:hRule="atLeast"/>
        </w:trPr>
        <w:tc>
          <w:tcPr>
            <w:tcW w:type="dxa" w:w="4644"/>
            <w:tcBorders>
              <w:top w:val="nil"/>
              <w:left w:val="nil"/>
              <w:bottom w:val="nil"/>
              <w:right w:val="nil"/>
            </w:tcBorders>
            <w:shd w:val="clear" w:color="auto" w:fill="e8ecf3"/>
            <w:tcMar>
              <w:top w:type="dxa" w:w="80"/>
              <w:left w:type="dxa" w:w="80"/>
              <w:bottom w:type="dxa" w:w="80"/>
              <w:right w:type="dxa" w:w="80"/>
            </w:tcMar>
            <w:vAlign w:val="top"/>
          </w:tcPr>
          <w:p>
            <w:r>
              <w:t>______________________</w:t>
            </w:r>
          </w:p>
        </w:tc>
        <w:tc>
          <w:tcPr>
            <w:tcW w:type="dxa" w:w="4645"/>
            <w:tcBorders>
              <w:top w:val="nil"/>
              <w:left w:val="nil"/>
              <w:bottom w:val="nil"/>
              <w:right w:val="nil"/>
            </w:tcBorders>
            <w:shd w:val="clear" w:color="auto" w:fill="e8ecf3"/>
            <w:tcMar>
              <w:top w:type="dxa" w:w="80"/>
              <w:left w:type="dxa" w:w="80"/>
              <w:bottom w:type="dxa" w:w="80"/>
              <w:right w:type="dxa" w:w="80"/>
            </w:tcMar>
            <w:vAlign w:val="top"/>
          </w:tcPr>
          <w:p>
            <w:r>
              <w:t>______________________</w:t>
            </w:r>
          </w:p>
        </w:tc>
      </w:tr>
    </w:tbl>
    <w:p>
      <w:pPr>
        <w:pStyle w:val="Gövde"/>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Yok"/>
          <w:rFonts w:ascii="Times New Roman" w:cs="Times New Roman" w:hAnsi="Times New Roman" w:eastAsia="Times New Roman"/>
          <w:b w:val="1"/>
          <w:bCs w:val="1"/>
          <w:sz w:val="24"/>
          <w:szCs w:val="24"/>
          <w:u w:color="000000"/>
          <w:rtl w:val="0"/>
        </w:rPr>
      </w:pPr>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Hyperlink.0"/>
          <w:rFonts w:ascii="Times New Roman" w:cs="Times New Roman" w:hAnsi="Times New Roman" w:eastAsia="Times New Roman"/>
          <w:sz w:val="24"/>
          <w:szCs w:val="24"/>
          <w:u w:color="000000"/>
          <w:rtl w:val="0"/>
        </w:rPr>
      </w:pPr>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Hyperlink.0"/>
          <w:rFonts w:ascii="Times New Roman" w:cs="Times New Roman" w:hAnsi="Times New Roman" w:eastAsia="Times New Roman"/>
          <w:sz w:val="24"/>
          <w:szCs w:val="24"/>
          <w:u w:color="000000"/>
          <w:rtl w:val="0"/>
        </w:rPr>
      </w:pPr>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Hyperlink.0"/>
          <w:rFonts w:ascii="Times New Roman" w:cs="Times New Roman" w:hAnsi="Times New Roman" w:eastAsia="Times New Roman"/>
          <w:sz w:val="24"/>
          <w:szCs w:val="24"/>
          <w:u w:color="000000"/>
          <w:rtl w:val="0"/>
        </w:rPr>
      </w:pPr>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tl w:val="0"/>
        </w:rPr>
      </w:pPr>
      <w:r>
        <w:tab/>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çe Aktarılan 1 Stili"/>
  </w:abstractNum>
  <w:abstractNum w:abstractNumId="1">
    <w:multiLevelType w:val="hybridMultilevel"/>
    <w:styleLink w:val="İçe Aktarılan 1 Stili"/>
    <w:lvl w:ilvl="0">
      <w:start w:val="1"/>
      <w:numFmt w:val="bullet"/>
      <w:suff w:val="tab"/>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8"/>
          <w:tab w:val="left" w:pos="1416"/>
          <w:tab w:val="left" w:pos="2832"/>
          <w:tab w:val="left" w:pos="3540"/>
          <w:tab w:val="left" w:pos="4248"/>
          <w:tab w:val="left" w:pos="4956"/>
          <w:tab w:val="left" w:pos="5664"/>
          <w:tab w:val="left" w:pos="6372"/>
          <w:tab w:val="left" w:pos="7080"/>
          <w:tab w:val="left" w:pos="7788"/>
          <w:tab w:val="left" w:pos="8496"/>
          <w:tab w:val="left" w:pos="9204"/>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8"/>
          <w:tab w:val="left" w:pos="1416"/>
          <w:tab w:val="left" w:pos="2124"/>
          <w:tab w:val="left" w:pos="3540"/>
          <w:tab w:val="left" w:pos="4248"/>
          <w:tab w:val="left" w:pos="4956"/>
          <w:tab w:val="left" w:pos="5664"/>
          <w:tab w:val="left" w:pos="6372"/>
          <w:tab w:val="left" w:pos="7080"/>
          <w:tab w:val="left" w:pos="7788"/>
          <w:tab w:val="left" w:pos="8496"/>
          <w:tab w:val="left" w:pos="9204"/>
        </w:tabs>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8"/>
          <w:tab w:val="left" w:pos="1416"/>
          <w:tab w:val="left" w:pos="2124"/>
          <w:tab w:val="left" w:pos="2832"/>
          <w:tab w:val="left" w:pos="4248"/>
          <w:tab w:val="left" w:pos="4956"/>
          <w:tab w:val="left" w:pos="5664"/>
          <w:tab w:val="left" w:pos="6372"/>
          <w:tab w:val="left" w:pos="7080"/>
          <w:tab w:val="left" w:pos="7788"/>
          <w:tab w:val="left" w:pos="8496"/>
          <w:tab w:val="left" w:pos="9204"/>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8"/>
          <w:tab w:val="left" w:pos="1416"/>
          <w:tab w:val="left" w:pos="2124"/>
          <w:tab w:val="left" w:pos="2832"/>
          <w:tab w:val="left" w:pos="3540"/>
          <w:tab w:val="left" w:pos="4248"/>
          <w:tab w:val="left" w:pos="5664"/>
          <w:tab w:val="left" w:pos="6372"/>
          <w:tab w:val="left" w:pos="7080"/>
          <w:tab w:val="left" w:pos="7788"/>
          <w:tab w:val="left" w:pos="8496"/>
          <w:tab w:val="left" w:pos="9204"/>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8"/>
          <w:tab w:val="left" w:pos="1416"/>
          <w:tab w:val="left" w:pos="2124"/>
          <w:tab w:val="left" w:pos="2832"/>
          <w:tab w:val="left" w:pos="3540"/>
          <w:tab w:val="left" w:pos="4248"/>
          <w:tab w:val="left" w:pos="4956"/>
          <w:tab w:val="left" w:pos="6372"/>
          <w:tab w:val="left" w:pos="7080"/>
          <w:tab w:val="left" w:pos="7788"/>
          <w:tab w:val="left" w:pos="8496"/>
          <w:tab w:val="left" w:pos="9204"/>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7080"/>
          <w:tab w:val="left" w:pos="7788"/>
          <w:tab w:val="left" w:pos="8496"/>
          <w:tab w:val="left" w:pos="9204"/>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çe Aktarılan 3 Stili"/>
  </w:abstractNum>
  <w:abstractNum w:abstractNumId="3">
    <w:multiLevelType w:val="hybridMultilevel"/>
    <w:styleLink w:val="İçe Aktarılan 3 Stili"/>
    <w:lvl w:ilvl="0">
      <w:start w:val="1"/>
      <w:numFmt w:val="bullet"/>
      <w:suff w:val="tab"/>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 w:val="left" w:pos="1416"/>
          <w:tab w:val="left" w:pos="2832"/>
          <w:tab w:val="left" w:pos="3540"/>
          <w:tab w:val="left" w:pos="4248"/>
          <w:tab w:val="left" w:pos="4956"/>
          <w:tab w:val="left" w:pos="5664"/>
          <w:tab w:val="left" w:pos="6372"/>
          <w:tab w:val="left" w:pos="7080"/>
          <w:tab w:val="left" w:pos="7788"/>
          <w:tab w:val="left" w:pos="8496"/>
          <w:tab w:val="left" w:pos="9204"/>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 w:val="left" w:pos="1416"/>
          <w:tab w:val="left" w:pos="2124"/>
          <w:tab w:val="left" w:pos="3540"/>
          <w:tab w:val="left" w:pos="4248"/>
          <w:tab w:val="left" w:pos="4956"/>
          <w:tab w:val="left" w:pos="5664"/>
          <w:tab w:val="left" w:pos="6372"/>
          <w:tab w:val="left" w:pos="7080"/>
          <w:tab w:val="left" w:pos="7788"/>
          <w:tab w:val="left" w:pos="8496"/>
          <w:tab w:val="left" w:pos="9204"/>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 w:val="left" w:pos="1416"/>
          <w:tab w:val="left" w:pos="2124"/>
          <w:tab w:val="left" w:pos="2832"/>
          <w:tab w:val="left" w:pos="4248"/>
          <w:tab w:val="left" w:pos="4956"/>
          <w:tab w:val="left" w:pos="5664"/>
          <w:tab w:val="left" w:pos="6372"/>
          <w:tab w:val="left" w:pos="7080"/>
          <w:tab w:val="left" w:pos="7788"/>
          <w:tab w:val="left" w:pos="8496"/>
          <w:tab w:val="left" w:pos="9204"/>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 w:val="left" w:pos="1416"/>
          <w:tab w:val="left" w:pos="2124"/>
          <w:tab w:val="left" w:pos="2832"/>
          <w:tab w:val="left" w:pos="3540"/>
          <w:tab w:val="left" w:pos="4956"/>
          <w:tab w:val="left" w:pos="5664"/>
          <w:tab w:val="left" w:pos="6372"/>
          <w:tab w:val="left" w:pos="7080"/>
          <w:tab w:val="left" w:pos="7788"/>
          <w:tab w:val="left" w:pos="8496"/>
          <w:tab w:val="left" w:pos="9204"/>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 w:val="left" w:pos="1416"/>
          <w:tab w:val="left" w:pos="2124"/>
          <w:tab w:val="left" w:pos="2832"/>
          <w:tab w:val="left" w:pos="3540"/>
          <w:tab w:val="left" w:pos="4248"/>
          <w:tab w:val="left" w:pos="5664"/>
          <w:tab w:val="left" w:pos="6372"/>
          <w:tab w:val="left" w:pos="7080"/>
          <w:tab w:val="left" w:pos="7788"/>
          <w:tab w:val="left" w:pos="8496"/>
          <w:tab w:val="left" w:pos="9204"/>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 w:val="left" w:pos="1416"/>
          <w:tab w:val="left" w:pos="2124"/>
          <w:tab w:val="left" w:pos="2832"/>
          <w:tab w:val="left" w:pos="3540"/>
          <w:tab w:val="left" w:pos="4248"/>
          <w:tab w:val="left" w:pos="4956"/>
          <w:tab w:val="left" w:pos="6372"/>
          <w:tab w:val="left" w:pos="7080"/>
          <w:tab w:val="left" w:pos="7788"/>
          <w:tab w:val="left" w:pos="8496"/>
          <w:tab w:val="left" w:pos="9204"/>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 w:val="left" w:pos="1416"/>
          <w:tab w:val="left" w:pos="2124"/>
          <w:tab w:val="left" w:pos="2832"/>
          <w:tab w:val="left" w:pos="3540"/>
          <w:tab w:val="left" w:pos="4248"/>
          <w:tab w:val="left" w:pos="4956"/>
          <w:tab w:val="left" w:pos="5664"/>
          <w:tab w:val="left" w:pos="7080"/>
          <w:tab w:val="left" w:pos="7788"/>
          <w:tab w:val="left" w:pos="8496"/>
          <w:tab w:val="left" w:pos="9204"/>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çe Aktarılan 2 Stili"/>
  </w:abstractNum>
  <w:abstractNum w:abstractNumId="5">
    <w:multiLevelType w:val="hybridMultilevel"/>
    <w:styleLink w:val="İçe Aktarılan 2 Stili"/>
    <w:lvl w:ilvl="0">
      <w:start w:val="1"/>
      <w:numFmt w:val="bullet"/>
      <w:suff w:val="tab"/>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 w:val="left" w:pos="1416"/>
          <w:tab w:val="left" w:pos="2832"/>
          <w:tab w:val="left" w:pos="3540"/>
          <w:tab w:val="left" w:pos="4248"/>
          <w:tab w:val="left" w:pos="4956"/>
          <w:tab w:val="left" w:pos="5664"/>
          <w:tab w:val="left" w:pos="6372"/>
          <w:tab w:val="left" w:pos="7080"/>
          <w:tab w:val="left" w:pos="7788"/>
          <w:tab w:val="left" w:pos="8496"/>
          <w:tab w:val="left" w:pos="9204"/>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 w:val="left" w:pos="1416"/>
          <w:tab w:val="left" w:pos="2124"/>
          <w:tab w:val="left" w:pos="3540"/>
          <w:tab w:val="left" w:pos="4248"/>
          <w:tab w:val="left" w:pos="4956"/>
          <w:tab w:val="left" w:pos="5664"/>
          <w:tab w:val="left" w:pos="6372"/>
          <w:tab w:val="left" w:pos="7080"/>
          <w:tab w:val="left" w:pos="7788"/>
          <w:tab w:val="left" w:pos="8496"/>
          <w:tab w:val="left" w:pos="9204"/>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 w:val="left" w:pos="1416"/>
          <w:tab w:val="left" w:pos="2124"/>
          <w:tab w:val="left" w:pos="2832"/>
          <w:tab w:val="left" w:pos="4248"/>
          <w:tab w:val="left" w:pos="4956"/>
          <w:tab w:val="left" w:pos="5664"/>
          <w:tab w:val="left" w:pos="6372"/>
          <w:tab w:val="left" w:pos="7080"/>
          <w:tab w:val="left" w:pos="7788"/>
          <w:tab w:val="left" w:pos="8496"/>
          <w:tab w:val="left" w:pos="9204"/>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 w:val="left" w:pos="1416"/>
          <w:tab w:val="left" w:pos="2124"/>
          <w:tab w:val="left" w:pos="2832"/>
          <w:tab w:val="left" w:pos="3540"/>
          <w:tab w:val="left" w:pos="4956"/>
          <w:tab w:val="left" w:pos="5664"/>
          <w:tab w:val="left" w:pos="6372"/>
          <w:tab w:val="left" w:pos="7080"/>
          <w:tab w:val="left" w:pos="7788"/>
          <w:tab w:val="left" w:pos="8496"/>
          <w:tab w:val="left" w:pos="9204"/>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 w:val="left" w:pos="1416"/>
          <w:tab w:val="left" w:pos="2124"/>
          <w:tab w:val="left" w:pos="2832"/>
          <w:tab w:val="left" w:pos="3540"/>
          <w:tab w:val="left" w:pos="4248"/>
          <w:tab w:val="left" w:pos="5664"/>
          <w:tab w:val="left" w:pos="6372"/>
          <w:tab w:val="left" w:pos="7080"/>
          <w:tab w:val="left" w:pos="7788"/>
          <w:tab w:val="left" w:pos="8496"/>
          <w:tab w:val="left" w:pos="9204"/>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 w:val="left" w:pos="1416"/>
          <w:tab w:val="left" w:pos="2124"/>
          <w:tab w:val="left" w:pos="2832"/>
          <w:tab w:val="left" w:pos="3540"/>
          <w:tab w:val="left" w:pos="4248"/>
          <w:tab w:val="left" w:pos="4956"/>
          <w:tab w:val="left" w:pos="6372"/>
          <w:tab w:val="left" w:pos="7080"/>
          <w:tab w:val="left" w:pos="7788"/>
          <w:tab w:val="left" w:pos="8496"/>
          <w:tab w:val="left" w:pos="9204"/>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 w:val="left" w:pos="1416"/>
          <w:tab w:val="left" w:pos="2124"/>
          <w:tab w:val="left" w:pos="2832"/>
          <w:tab w:val="left" w:pos="3540"/>
          <w:tab w:val="left" w:pos="4248"/>
          <w:tab w:val="left" w:pos="4956"/>
          <w:tab w:val="left" w:pos="5664"/>
          <w:tab w:val="left" w:pos="7080"/>
          <w:tab w:val="left" w:pos="7788"/>
          <w:tab w:val="left" w:pos="8496"/>
          <w:tab w:val="left" w:pos="9204"/>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çe Aktarılan 4 Stili"/>
  </w:abstractNum>
  <w:abstractNum w:abstractNumId="7">
    <w:multiLevelType w:val="hybridMultilevel"/>
    <w:styleLink w:val="İçe Aktarılan 4 Stili"/>
    <w:lvl w:ilvl="0">
      <w:start w:val="1"/>
      <w:numFmt w:val="bullet"/>
      <w:suff w:val="tab"/>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 w:val="left" w:pos="1416"/>
          <w:tab w:val="left" w:pos="2832"/>
          <w:tab w:val="left" w:pos="3540"/>
          <w:tab w:val="left" w:pos="4248"/>
          <w:tab w:val="left" w:pos="4956"/>
          <w:tab w:val="left" w:pos="5664"/>
          <w:tab w:val="left" w:pos="6372"/>
          <w:tab w:val="left" w:pos="7080"/>
          <w:tab w:val="left" w:pos="7788"/>
          <w:tab w:val="left" w:pos="8496"/>
          <w:tab w:val="left" w:pos="9204"/>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 w:val="left" w:pos="1416"/>
          <w:tab w:val="left" w:pos="2124"/>
          <w:tab w:val="left" w:pos="3540"/>
          <w:tab w:val="left" w:pos="4248"/>
          <w:tab w:val="left" w:pos="4956"/>
          <w:tab w:val="left" w:pos="5664"/>
          <w:tab w:val="left" w:pos="6372"/>
          <w:tab w:val="left" w:pos="7080"/>
          <w:tab w:val="left" w:pos="7788"/>
          <w:tab w:val="left" w:pos="8496"/>
          <w:tab w:val="left" w:pos="9204"/>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 w:val="left" w:pos="1416"/>
          <w:tab w:val="left" w:pos="2124"/>
          <w:tab w:val="left" w:pos="2832"/>
          <w:tab w:val="left" w:pos="4248"/>
          <w:tab w:val="left" w:pos="4956"/>
          <w:tab w:val="left" w:pos="5664"/>
          <w:tab w:val="left" w:pos="6372"/>
          <w:tab w:val="left" w:pos="7080"/>
          <w:tab w:val="left" w:pos="7788"/>
          <w:tab w:val="left" w:pos="8496"/>
          <w:tab w:val="left" w:pos="9204"/>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 w:val="left" w:pos="1416"/>
          <w:tab w:val="left" w:pos="2124"/>
          <w:tab w:val="left" w:pos="2832"/>
          <w:tab w:val="left" w:pos="3540"/>
          <w:tab w:val="left" w:pos="4956"/>
          <w:tab w:val="left" w:pos="5664"/>
          <w:tab w:val="left" w:pos="6372"/>
          <w:tab w:val="left" w:pos="7080"/>
          <w:tab w:val="left" w:pos="7788"/>
          <w:tab w:val="left" w:pos="8496"/>
          <w:tab w:val="left" w:pos="9204"/>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 w:val="left" w:pos="1416"/>
          <w:tab w:val="left" w:pos="2124"/>
          <w:tab w:val="left" w:pos="2832"/>
          <w:tab w:val="left" w:pos="3540"/>
          <w:tab w:val="left" w:pos="4248"/>
          <w:tab w:val="left" w:pos="5664"/>
          <w:tab w:val="left" w:pos="6372"/>
          <w:tab w:val="left" w:pos="7080"/>
          <w:tab w:val="left" w:pos="7788"/>
          <w:tab w:val="left" w:pos="8496"/>
          <w:tab w:val="left" w:pos="9204"/>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 w:val="left" w:pos="1416"/>
          <w:tab w:val="left" w:pos="2124"/>
          <w:tab w:val="left" w:pos="2832"/>
          <w:tab w:val="left" w:pos="3540"/>
          <w:tab w:val="left" w:pos="4248"/>
          <w:tab w:val="left" w:pos="4956"/>
          <w:tab w:val="left" w:pos="6372"/>
          <w:tab w:val="left" w:pos="7080"/>
          <w:tab w:val="left" w:pos="7788"/>
          <w:tab w:val="left" w:pos="8496"/>
          <w:tab w:val="left" w:pos="9204"/>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 w:val="left" w:pos="1416"/>
          <w:tab w:val="left" w:pos="2124"/>
          <w:tab w:val="left" w:pos="2832"/>
          <w:tab w:val="left" w:pos="3540"/>
          <w:tab w:val="left" w:pos="4248"/>
          <w:tab w:val="left" w:pos="4956"/>
          <w:tab w:val="left" w:pos="5664"/>
          <w:tab w:val="left" w:pos="7080"/>
          <w:tab w:val="left" w:pos="7788"/>
          <w:tab w:val="left" w:pos="8496"/>
          <w:tab w:val="left" w:pos="9204"/>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çe Aktarılan 5 Stili"/>
  </w:abstractNum>
  <w:abstractNum w:abstractNumId="9">
    <w:multiLevelType w:val="hybridMultilevel"/>
    <w:styleLink w:val="İçe Aktarılan 5 Stili"/>
    <w:lvl w:ilvl="0">
      <w:start w:val="1"/>
      <w:numFmt w:val="bullet"/>
      <w:suff w:val="tab"/>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 w:val="left" w:pos="1416"/>
          <w:tab w:val="left" w:pos="2832"/>
          <w:tab w:val="left" w:pos="3540"/>
          <w:tab w:val="left" w:pos="4248"/>
          <w:tab w:val="left" w:pos="4956"/>
          <w:tab w:val="left" w:pos="5664"/>
          <w:tab w:val="left" w:pos="6372"/>
          <w:tab w:val="left" w:pos="7080"/>
          <w:tab w:val="left" w:pos="7788"/>
          <w:tab w:val="left" w:pos="8496"/>
          <w:tab w:val="left" w:pos="9204"/>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 w:val="left" w:pos="1416"/>
          <w:tab w:val="left" w:pos="2124"/>
          <w:tab w:val="left" w:pos="3540"/>
          <w:tab w:val="left" w:pos="4248"/>
          <w:tab w:val="left" w:pos="4956"/>
          <w:tab w:val="left" w:pos="5664"/>
          <w:tab w:val="left" w:pos="6372"/>
          <w:tab w:val="left" w:pos="7080"/>
          <w:tab w:val="left" w:pos="7788"/>
          <w:tab w:val="left" w:pos="8496"/>
          <w:tab w:val="left" w:pos="9204"/>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 w:val="left" w:pos="1416"/>
          <w:tab w:val="left" w:pos="2124"/>
          <w:tab w:val="left" w:pos="2832"/>
          <w:tab w:val="left" w:pos="4248"/>
          <w:tab w:val="left" w:pos="4956"/>
          <w:tab w:val="left" w:pos="5664"/>
          <w:tab w:val="left" w:pos="6372"/>
          <w:tab w:val="left" w:pos="7080"/>
          <w:tab w:val="left" w:pos="7788"/>
          <w:tab w:val="left" w:pos="8496"/>
          <w:tab w:val="left" w:pos="9204"/>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 w:val="left" w:pos="1416"/>
          <w:tab w:val="left" w:pos="2124"/>
          <w:tab w:val="left" w:pos="2832"/>
          <w:tab w:val="left" w:pos="3540"/>
          <w:tab w:val="left" w:pos="4956"/>
          <w:tab w:val="left" w:pos="5664"/>
          <w:tab w:val="left" w:pos="6372"/>
          <w:tab w:val="left" w:pos="7080"/>
          <w:tab w:val="left" w:pos="7788"/>
          <w:tab w:val="left" w:pos="8496"/>
          <w:tab w:val="left" w:pos="9204"/>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 w:val="left" w:pos="1416"/>
          <w:tab w:val="left" w:pos="2124"/>
          <w:tab w:val="left" w:pos="2832"/>
          <w:tab w:val="left" w:pos="3540"/>
          <w:tab w:val="left" w:pos="4248"/>
          <w:tab w:val="left" w:pos="5664"/>
          <w:tab w:val="left" w:pos="6372"/>
          <w:tab w:val="left" w:pos="7080"/>
          <w:tab w:val="left" w:pos="7788"/>
          <w:tab w:val="left" w:pos="8496"/>
          <w:tab w:val="left" w:pos="9204"/>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 w:val="left" w:pos="1416"/>
          <w:tab w:val="left" w:pos="2124"/>
          <w:tab w:val="left" w:pos="2832"/>
          <w:tab w:val="left" w:pos="3540"/>
          <w:tab w:val="left" w:pos="4248"/>
          <w:tab w:val="left" w:pos="4956"/>
          <w:tab w:val="left" w:pos="6372"/>
          <w:tab w:val="left" w:pos="7080"/>
          <w:tab w:val="left" w:pos="7788"/>
          <w:tab w:val="left" w:pos="8496"/>
          <w:tab w:val="left" w:pos="9204"/>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 w:val="left" w:pos="1416"/>
          <w:tab w:val="left" w:pos="2124"/>
          <w:tab w:val="left" w:pos="2832"/>
          <w:tab w:val="left" w:pos="3540"/>
          <w:tab w:val="left" w:pos="4248"/>
          <w:tab w:val="left" w:pos="4956"/>
          <w:tab w:val="left" w:pos="5664"/>
          <w:tab w:val="left" w:pos="7080"/>
          <w:tab w:val="left" w:pos="7788"/>
          <w:tab w:val="left" w:pos="8496"/>
          <w:tab w:val="left" w:pos="9204"/>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Türkçe" w:val="‘“(〔[{〈《「『【⦅〘〖«〝︵︷︹︻︽︿﹁﹃﹇﹙﹛﹝｢"/>
  <w:noLineBreaksBefore w:lang="Türkçe"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Gövde">
    <w:name w:val="Gövde"/>
    <w:next w:val="Gövd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Saptanmış">
    <w:name w:val="Saptanmış"/>
    <w:next w:val="Saptanmış"/>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Bağlantı">
    <w:name w:val="Bağlantı"/>
    <w:rPr>
      <w:u w:val="single"/>
    </w:rPr>
  </w:style>
  <w:style w:type="character" w:styleId="Yok">
    <w:name w:val="Yok"/>
  </w:style>
  <w:style w:type="character" w:styleId="Hyperlink.0">
    <w:name w:val="Hyperlink.0"/>
    <w:basedOn w:val="Yok"/>
    <w:next w:val="Hyperlink.0"/>
    <w:rPr>
      <w:rFonts w:ascii="Times New Roman" w:cs="Times New Roman" w:hAnsi="Times New Roman" w:eastAsia="Times New Roman"/>
    </w:rPr>
  </w:style>
  <w:style w:type="numbering" w:styleId="İçe Aktarılan 1 Stili">
    <w:name w:val="İçe Aktarılan 1 Stili"/>
    <w:pPr>
      <w:numPr>
        <w:numId w:val="1"/>
      </w:numPr>
    </w:pPr>
  </w:style>
  <w:style w:type="numbering" w:styleId="İçe Aktarılan 3 Stili">
    <w:name w:val="İçe Aktarılan 3 Stili"/>
    <w:pPr>
      <w:numPr>
        <w:numId w:val="3"/>
      </w:numPr>
    </w:pPr>
  </w:style>
  <w:style w:type="numbering" w:styleId="İçe Aktarılan 2 Stili">
    <w:name w:val="İçe Aktarılan 2 Stili"/>
    <w:pPr>
      <w:numPr>
        <w:numId w:val="5"/>
      </w:numPr>
    </w:pPr>
  </w:style>
  <w:style w:type="numbering" w:styleId="İçe Aktarılan 4 Stili">
    <w:name w:val="İçe Aktarılan 4 Stili"/>
    <w:pPr>
      <w:numPr>
        <w:numId w:val="7"/>
      </w:numPr>
    </w:pPr>
  </w:style>
  <w:style w:type="numbering" w:styleId="İçe Aktarılan 5 Stili">
    <w:name w:val="İçe Aktarılan 5 Stili"/>
    <w:pPr>
      <w:numPr>
        <w:numId w:val="9"/>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