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 – Project Planning and Strategy</w:t>
      </w:r>
    </w:p>
    <w:p>
      <w:pPr>
        <w:jc w:val="center"/>
      </w:pPr>
      <w:r>
        <w:rPr>
          <w:i/>
          <w:sz w:val="22"/>
        </w:rPr>
        <w:t>Healthcare Data Analytics Project: Diabetes Readmission Analysis</w:t>
      </w:r>
    </w:p>
    <w:p/>
    <w:p>
      <w:pPr>
        <w:pStyle w:val="Heading1"/>
      </w:pPr>
      <w:r>
        <w:t>1. Project Overview</w:t>
      </w:r>
    </w:p>
    <w:p>
      <w:r>
        <w:t>This project uses the supplied diabetic encounter dataset containing 101,766 encounters and 50 fields. The overall objective is to develop an end-to-end healthcare analytics workflow covering project planning, data quality, exploratory analysis, predictive modeling, and final recommendations. The outcome variable is readmission status, with a specific focus on encounters readmitted within 30 days.</w:t>
      </w:r>
    </w:p>
    <w:p>
      <w:pPr>
        <w:pStyle w:val="Heading1"/>
      </w:pPr>
      <w:r>
        <w:t>2. Dataset and Evidence Base</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Observed value</w:t>
            </w:r>
          </w:p>
        </w:tc>
      </w:tr>
      <w:tr>
        <w:tc>
          <w:tcPr>
            <w:tcW w:type="dxa" w:w="4968"/>
          </w:tcPr>
          <w:p>
            <w:r>
              <w:t>Rows / encounters</w:t>
            </w:r>
          </w:p>
        </w:tc>
        <w:tc>
          <w:tcPr>
            <w:tcW w:type="dxa" w:w="4968"/>
          </w:tcPr>
          <w:p>
            <w:r>
              <w:t>101,766</w:t>
            </w:r>
          </w:p>
        </w:tc>
      </w:tr>
      <w:tr>
        <w:tc>
          <w:tcPr>
            <w:tcW w:type="dxa" w:w="4968"/>
          </w:tcPr>
          <w:p>
            <w:r>
              <w:t>Columns</w:t>
            </w:r>
          </w:p>
        </w:tc>
        <w:tc>
          <w:tcPr>
            <w:tcW w:type="dxa" w:w="4968"/>
          </w:tcPr>
          <w:p>
            <w:r>
              <w:t>50</w:t>
            </w:r>
          </w:p>
        </w:tc>
      </w:tr>
      <w:tr>
        <w:tc>
          <w:tcPr>
            <w:tcW w:type="dxa" w:w="4968"/>
          </w:tcPr>
          <w:p>
            <w:r>
              <w:t>Readmitted &lt;30 days</w:t>
            </w:r>
          </w:p>
        </w:tc>
        <w:tc>
          <w:tcPr>
            <w:tcW w:type="dxa" w:w="4968"/>
          </w:tcPr>
          <w:p>
            <w:r>
              <w:t>11,357 (11.16%)</w:t>
            </w:r>
          </w:p>
        </w:tc>
      </w:tr>
      <w:tr>
        <w:tc>
          <w:tcPr>
            <w:tcW w:type="dxa" w:w="4968"/>
          </w:tcPr>
          <w:p>
            <w:r>
              <w:t>Readmitted &gt;30 days</w:t>
            </w:r>
          </w:p>
        </w:tc>
        <w:tc>
          <w:tcPr>
            <w:tcW w:type="dxa" w:w="4968"/>
          </w:tcPr>
          <w:p>
            <w:r>
              <w:t>35,545</w:t>
            </w:r>
          </w:p>
        </w:tc>
      </w:tr>
      <w:tr>
        <w:tc>
          <w:tcPr>
            <w:tcW w:type="dxa" w:w="4968"/>
          </w:tcPr>
          <w:p>
            <w:r>
              <w:t>Not readmitted</w:t>
            </w:r>
          </w:p>
        </w:tc>
        <w:tc>
          <w:tcPr>
            <w:tcW w:type="dxa" w:w="4968"/>
          </w:tcPr>
          <w:p>
            <w:r>
              <w:t>54,864</w:t>
            </w:r>
          </w:p>
        </w:tc>
      </w:tr>
      <w:tr>
        <w:tc>
          <w:tcPr>
            <w:tcW w:type="dxa" w:w="4968"/>
          </w:tcPr>
          <w:p>
            <w:r>
              <w:t>Mean length of stay</w:t>
            </w:r>
          </w:p>
        </w:tc>
        <w:tc>
          <w:tcPr>
            <w:tcW w:type="dxa" w:w="4968"/>
          </w:tcPr>
          <w:p>
            <w:r>
              <w:t>4.40 days</w:t>
            </w:r>
          </w:p>
        </w:tc>
      </w:tr>
      <w:tr>
        <w:tc>
          <w:tcPr>
            <w:tcW w:type="dxa" w:w="4968"/>
          </w:tcPr>
          <w:p>
            <w:r>
              <w:t>Median length of stay</w:t>
            </w:r>
          </w:p>
        </w:tc>
        <w:tc>
          <w:tcPr>
            <w:tcW w:type="dxa" w:w="4968"/>
          </w:tcPr>
          <w:p>
            <w:r>
              <w:t>4 days</w:t>
            </w:r>
          </w:p>
        </w:tc>
      </w:tr>
    </w:tbl>
    <w:p>
      <w:r>
        <w:t>The supplied description document reports that the underlying study focused on inpatient diabetic encounters and defined early readmission as readmission within 30 days. The task instructions require a complete project plan with objectives, literature/data-source review, timeline, resources, milestones, risks, and ethical considerations.</w:t>
      </w:r>
    </w:p>
    <w:p>
      <w:pPr>
        <w:pStyle w:val="Heading1"/>
      </w:pPr>
      <w:r>
        <w:t>3. Literature Review Summary</w:t>
      </w:r>
    </w:p>
    <w:p>
      <w:r>
        <w:t>The supplied research paper describes analysis of a large clinical database and examines HbA1c measurement in relation to hospital readmission. It highlights common healthcare-data challenges such as missing values, incomplete/inconsistent records, and high dimensionality. It also motivates the use of multivariable statistical modeling to study readmission while controlling for patient and encounter characteristics.</w:t>
      </w:r>
    </w:p>
    <w:p>
      <w:pPr>
        <w:pStyle w:val="Heading1"/>
      </w:pPr>
      <w:r>
        <w:t>4. Project Objectives</w:t>
      </w:r>
    </w:p>
    <w:p>
      <w:pPr>
        <w:pStyle w:val="ListNumber"/>
      </w:pPr>
      <w:r>
        <w:t>Assess the structure, completeness, consistency, and suitability of the supplied diabetic encounter data.</w:t>
      </w:r>
    </w:p>
    <w:p>
      <w:pPr>
        <w:pStyle w:val="ListNumber"/>
      </w:pPr>
      <w:r>
        <w:t>Create a documented preprocessing methodology for missing values, categorical values, duplicates, anomalies, and feature preparation.</w:t>
      </w:r>
    </w:p>
    <w:p>
      <w:pPr>
        <w:pStyle w:val="ListNumber"/>
      </w:pPr>
      <w:r>
        <w:t>Perform exploratory data analysis to identify distributions, associations, and patterns related to readmission.</w:t>
      </w:r>
    </w:p>
    <w:p>
      <w:pPr>
        <w:pStyle w:val="ListNumber"/>
      </w:pPr>
      <w:r>
        <w:t>Develop a baseline predictive model for 30-day readmission and evaluate it with accuracy, precision, recall, F1-score, and ROC-AUC.</w:t>
      </w:r>
    </w:p>
    <w:p>
      <w:pPr>
        <w:pStyle w:val="ListNumber"/>
      </w:pPr>
      <w:r>
        <w:t>Translate validated analytical findings into cautious, non-causal recommendations for healthcare operations and further investigation.</w:t>
      </w:r>
    </w:p>
    <w:p>
      <w:pPr>
        <w:pStyle w:val="Heading1"/>
      </w:pPr>
      <w:r>
        <w:t>5. Key Metrics</w:t>
      </w:r>
    </w:p>
    <w:p>
      <w:pPr>
        <w:pStyle w:val="ListBullet"/>
      </w:pPr>
      <w:r>
        <w:t>Data quality: missing-value percentage, duplicate count, valid category rates.</w:t>
      </w:r>
    </w:p>
    <w:p>
      <w:pPr>
        <w:pStyle w:val="ListBullet"/>
      </w:pPr>
      <w:r>
        <w:t>Operational: length of stay, laboratory procedures, medications, prior outpatient/emergency/inpatient visits.</w:t>
      </w:r>
    </w:p>
    <w:p>
      <w:pPr>
        <w:pStyle w:val="ListBullet"/>
      </w:pPr>
      <w:r>
        <w:t>Outcome: proportion of encounters readmitted within 30 days.</w:t>
      </w:r>
    </w:p>
    <w:p>
      <w:pPr>
        <w:pStyle w:val="ListBullet"/>
      </w:pPr>
      <w:r>
        <w:t>Model performance: recall, precision, F1-score, ROC-AUC, and confusion matrix.</w:t>
      </w:r>
    </w:p>
    <w:p>
      <w:pPr>
        <w:pStyle w:val="Heading1"/>
      </w:pPr>
      <w:r>
        <w:t>6. Timeline and Milestones</w:t>
      </w:r>
    </w:p>
    <w:tbl>
      <w:tblPr>
        <w:tblStyle w:val="TableGrid"/>
        <w:tblW w:type="auto" w:w="0"/>
        <w:tblLook w:firstColumn="1" w:firstRow="1" w:lastColumn="0" w:lastRow="0" w:noHBand="0" w:noVBand="1" w:val="04A0"/>
      </w:tblPr>
      <w:tblGrid>
        <w:gridCol w:w="3312"/>
        <w:gridCol w:w="3312"/>
        <w:gridCol w:w="3312"/>
      </w:tblGrid>
      <w:tr>
        <w:tc>
          <w:tcPr>
            <w:tcW w:type="dxa" w:w="3312"/>
          </w:tcPr>
          <w:p>
            <w:r>
              <w:t>Week</w:t>
            </w:r>
          </w:p>
        </w:tc>
        <w:tc>
          <w:tcPr>
            <w:tcW w:type="dxa" w:w="3312"/>
          </w:tcPr>
          <w:p>
            <w:r>
              <w:t>Workstream</w:t>
            </w:r>
          </w:p>
        </w:tc>
        <w:tc>
          <w:tcPr>
            <w:tcW w:type="dxa" w:w="3312"/>
          </w:tcPr>
          <w:p>
            <w:r>
              <w:t>Deliverable</w:t>
            </w:r>
          </w:p>
        </w:tc>
      </w:tr>
      <w:tr>
        <w:tc>
          <w:tcPr>
            <w:tcW w:type="dxa" w:w="3312"/>
          </w:tcPr>
          <w:p>
            <w:r>
              <w:t>1</w:t>
            </w:r>
          </w:p>
        </w:tc>
        <w:tc>
          <w:tcPr>
            <w:tcW w:type="dxa" w:w="3312"/>
          </w:tcPr>
          <w:p>
            <w:r>
              <w:t>Planning, literature/context review, objectives, risks</w:t>
            </w:r>
          </w:p>
        </w:tc>
        <w:tc>
          <w:tcPr>
            <w:tcW w:type="dxa" w:w="3312"/>
          </w:tcPr>
          <w:p>
            <w:r>
              <w:t>Project plan</w:t>
            </w:r>
          </w:p>
        </w:tc>
      </w:tr>
      <w:tr>
        <w:tc>
          <w:tcPr>
            <w:tcW w:type="dxa" w:w="3312"/>
          </w:tcPr>
          <w:p>
            <w:r>
              <w:t>2</w:t>
            </w:r>
          </w:p>
        </w:tc>
        <w:tc>
          <w:tcPr>
            <w:tcW w:type="dxa" w:w="3312"/>
          </w:tcPr>
          <w:p>
            <w:r>
              <w:t>Cleaning and preprocessing methodology</w:t>
            </w:r>
          </w:p>
        </w:tc>
        <w:tc>
          <w:tcPr>
            <w:tcW w:type="dxa" w:w="3312"/>
          </w:tcPr>
          <w:p>
            <w:r>
              <w:t>Preprocessing report + workflow</w:t>
            </w:r>
          </w:p>
        </w:tc>
      </w:tr>
      <w:tr>
        <w:tc>
          <w:tcPr>
            <w:tcW w:type="dxa" w:w="3312"/>
          </w:tcPr>
          <w:p>
            <w:r>
              <w:t>3</w:t>
            </w:r>
          </w:p>
        </w:tc>
        <w:tc>
          <w:tcPr>
            <w:tcW w:type="dxa" w:w="3312"/>
          </w:tcPr>
          <w:p>
            <w:r>
              <w:t>EDA and visualization</w:t>
            </w:r>
          </w:p>
        </w:tc>
        <w:tc>
          <w:tcPr>
            <w:tcW w:type="dxa" w:w="3312"/>
          </w:tcPr>
          <w:p>
            <w:r>
              <w:t>EDA report + charts</w:t>
            </w:r>
          </w:p>
        </w:tc>
      </w:tr>
      <w:tr>
        <w:tc>
          <w:tcPr>
            <w:tcW w:type="dxa" w:w="3312"/>
          </w:tcPr>
          <w:p>
            <w:r>
              <w:t>4</w:t>
            </w:r>
          </w:p>
        </w:tc>
        <w:tc>
          <w:tcPr>
            <w:tcW w:type="dxa" w:w="3312"/>
          </w:tcPr>
          <w:p>
            <w:r>
              <w:t>Predictive modeling</w:t>
            </w:r>
          </w:p>
        </w:tc>
        <w:tc>
          <w:tcPr>
            <w:tcW w:type="dxa" w:w="3312"/>
          </w:tcPr>
          <w:p>
            <w:r>
              <w:t>Model selection + evaluation report</w:t>
            </w:r>
          </w:p>
        </w:tc>
      </w:tr>
      <w:tr>
        <w:tc>
          <w:tcPr>
            <w:tcW w:type="dxa" w:w="3312"/>
          </w:tcPr>
          <w:p>
            <w:r>
              <w:t>5</w:t>
            </w:r>
          </w:p>
        </w:tc>
        <w:tc>
          <w:tcPr>
            <w:tcW w:type="dxa" w:w="3312"/>
          </w:tcPr>
          <w:p>
            <w:r>
              <w:t>Integration and recommendations</w:t>
            </w:r>
          </w:p>
        </w:tc>
        <w:tc>
          <w:tcPr>
            <w:tcW w:type="dxa" w:w="3312"/>
          </w:tcPr>
          <w:p>
            <w:r>
              <w:t>Final evaluation report</w:t>
            </w:r>
          </w:p>
        </w:tc>
      </w:tr>
    </w:tbl>
    <w:p>
      <w:pPr>
        <w:pStyle w:val="Heading1"/>
      </w:pPr>
      <w:r>
        <w:t>7. Resources</w:t>
      </w:r>
    </w:p>
    <w:p>
      <w:pPr>
        <w:pStyle w:val="ListBullet"/>
      </w:pPr>
      <w:r>
        <w:t>Python with Pandas and NumPy for data handling.</w:t>
      </w:r>
    </w:p>
    <w:p>
      <w:pPr>
        <w:pStyle w:val="ListBullet"/>
      </w:pPr>
      <w:r>
        <w:t>Matplotlib and Seaborn for visualization.</w:t>
      </w:r>
    </w:p>
    <w:p>
      <w:pPr>
        <w:pStyle w:val="ListBullet"/>
      </w:pPr>
      <w:r>
        <w:t>Scikit-learn for preprocessing, model training, and evaluation.</w:t>
      </w:r>
    </w:p>
    <w:p>
      <w:pPr>
        <w:pStyle w:val="ListBullet"/>
      </w:pPr>
      <w:r>
        <w:t>Microsoft Word for documented submissions.</w:t>
      </w:r>
    </w:p>
    <w:p>
      <w:pPr>
        <w:pStyle w:val="ListBullet"/>
      </w:pPr>
      <w:r>
        <w:t>The supplied CSV dataset and accompanying research description as the primary evidence base.</w:t>
      </w:r>
    </w:p>
    <w:p>
      <w:pPr>
        <w:pStyle w:val="Heading1"/>
      </w:pPr>
      <w:r>
        <w:t>8. Risks and Contingency Planning</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effect</w:t>
            </w:r>
          </w:p>
        </w:tc>
        <w:tc>
          <w:tcPr>
            <w:tcW w:type="dxa" w:w="3312"/>
          </w:tcPr>
          <w:p>
            <w:r>
              <w:t>Contingency</w:t>
            </w:r>
          </w:p>
        </w:tc>
      </w:tr>
      <w:tr>
        <w:tc>
          <w:tcPr>
            <w:tcW w:type="dxa" w:w="3312"/>
          </w:tcPr>
          <w:p>
            <w:r>
              <w:t>High missingness</w:t>
            </w:r>
          </w:p>
        </w:tc>
        <w:tc>
          <w:tcPr>
            <w:tcW w:type="dxa" w:w="3312"/>
          </w:tcPr>
          <w:p>
            <w:r>
              <w:t>Biased or reduced analysis if handled incorrectly</w:t>
            </w:r>
          </w:p>
        </w:tc>
        <w:tc>
          <w:tcPr>
            <w:tcW w:type="dxa" w:w="3312"/>
          </w:tcPr>
          <w:p>
            <w:r>
              <w:t>Report missingness; avoid treating missing as zero; use documented imputation/indicator strategies where appropriate.</w:t>
            </w:r>
          </w:p>
        </w:tc>
      </w:tr>
      <w:tr>
        <w:tc>
          <w:tcPr>
            <w:tcW w:type="dxa" w:w="3312"/>
          </w:tcPr>
          <w:p>
            <w:r>
              <w:t>Class imbalance</w:t>
            </w:r>
          </w:p>
        </w:tc>
        <w:tc>
          <w:tcPr>
            <w:tcW w:type="dxa" w:w="3312"/>
          </w:tcPr>
          <w:p>
            <w:r>
              <w:t>Poor detection of early readmission</w:t>
            </w:r>
          </w:p>
        </w:tc>
        <w:tc>
          <w:tcPr>
            <w:tcW w:type="dxa" w:w="3312"/>
          </w:tcPr>
          <w:p>
            <w:r>
              <w:t>Use stratified splitting, class weighting, recall/precision, and ROC-AUC.</w:t>
            </w:r>
          </w:p>
        </w:tc>
      </w:tr>
      <w:tr>
        <w:tc>
          <w:tcPr>
            <w:tcW w:type="dxa" w:w="3312"/>
          </w:tcPr>
          <w:p>
            <w:r>
              <w:t>High-cardinality diagnoses</w:t>
            </w:r>
          </w:p>
        </w:tc>
        <w:tc>
          <w:tcPr>
            <w:tcW w:type="dxa" w:w="3312"/>
          </w:tcPr>
          <w:p>
            <w:r>
              <w:t>Large sparse feature space</w:t>
            </w:r>
          </w:p>
        </w:tc>
        <w:tc>
          <w:tcPr>
            <w:tcW w:type="dxa" w:w="3312"/>
          </w:tcPr>
          <w:p>
            <w:r>
              <w:t>Start with selected clinically relevant fields and document encoding.</w:t>
            </w:r>
          </w:p>
        </w:tc>
      </w:tr>
      <w:tr>
        <w:tc>
          <w:tcPr>
            <w:tcW w:type="dxa" w:w="3312"/>
          </w:tcPr>
          <w:p>
            <w:r>
              <w:t>Data leakage</w:t>
            </w:r>
          </w:p>
        </w:tc>
        <w:tc>
          <w:tcPr>
            <w:tcW w:type="dxa" w:w="3312"/>
          </w:tcPr>
          <w:p>
            <w:r>
              <w:t>Overly optimistic model performance</w:t>
            </w:r>
          </w:p>
        </w:tc>
        <w:tc>
          <w:tcPr>
            <w:tcW w:type="dxa" w:w="3312"/>
          </w:tcPr>
          <w:p>
            <w:r>
              <w:t>Separate preprocessing within training pipeline and exclude post-outcome information.</w:t>
            </w:r>
          </w:p>
        </w:tc>
      </w:tr>
      <w:tr>
        <w:tc>
          <w:tcPr>
            <w:tcW w:type="dxa" w:w="3312"/>
          </w:tcPr>
          <w:p>
            <w:r>
              <w:t>Privacy/ethics</w:t>
            </w:r>
          </w:p>
        </w:tc>
        <w:tc>
          <w:tcPr>
            <w:tcW w:type="dxa" w:w="3312"/>
          </w:tcPr>
          <w:p>
            <w:r>
              <w:t>Risk of inappropriate disclosure</w:t>
            </w:r>
          </w:p>
        </w:tc>
        <w:tc>
          <w:tcPr>
            <w:tcW w:type="dxa" w:w="3312"/>
          </w:tcPr>
          <w:p>
            <w:r>
              <w:t>Use de-identified data, avoid patient-level reporting, and aggregate outputs.</w:t>
            </w:r>
          </w:p>
        </w:tc>
      </w:tr>
    </w:tbl>
    <w:p>
      <w:pPr>
        <w:pStyle w:val="Heading1"/>
      </w:pPr>
      <w:r>
        <w:t>9. Ethical Considerations</w:t>
      </w:r>
    </w:p>
    <w:p>
      <w:r>
        <w:t>The analysis is intended for educational analytics and not clinical decision-making. Results should not be interpreted as individual medical advice. The dataset should be handled as de-identified data, patient identifiers should not be exposed in reports, and model results should be treated as decision-support research rather than proof of causality or clinical effectiveness.</w:t>
      </w:r>
    </w:p>
    <w:p>
      <w:pPr>
        <w:pStyle w:val="Heading1"/>
      </w:pPr>
      <w:r>
        <w:t>10. Expected Outcome</w:t>
      </w:r>
    </w:p>
    <w:p>
      <w:r>
        <w:t>The project will produce five linked submissions. Each stage will preserve the same dataset definitions and assumptions so that the final report can trace how data quality and exploratory findings informed the modeling strategy and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