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5 Task – Final Evaluation, Reporting, and Recommendations</w:t>
      </w:r>
    </w:p>
    <w:p>
      <w:pPr>
        <w:jc w:val="center"/>
      </w:pPr>
      <w:r>
        <w:rPr>
          <w:i/>
          <w:sz w:val="22"/>
        </w:rPr>
        <w:t>End-to-End Healthcare Data Analytics Project</w:t>
      </w:r>
    </w:p>
    <w:p/>
    <w:p>
      <w:pPr>
        <w:pStyle w:val="Heading1"/>
      </w:pPr>
      <w:r>
        <w:t>Executive Summary</w:t>
      </w:r>
    </w:p>
    <w:p>
      <w:r>
        <w:t>This project analyzed 101,766 diabetic inpatient encounters using a complete data-analysis lifecycle. The workflow covered planning, data quality assessment, preprocessing design, exploratory analysis, and a baseline 30-day readmission prediction model. The supplied data contains 11,357 early-readmission encounters (11.16%), creating a meaningful class-imbalance consideration. The baseline logistic regression achieved ROC-AUC 0.646, recall 0.519, precision 0.174, and F1-score 0.261 on the held-out test set.</w:t>
      </w:r>
    </w:p>
    <w:p>
      <w:pPr>
        <w:pStyle w:val="Heading1"/>
      </w:pPr>
      <w:r>
        <w:t>1. Methodological Recap</w:t>
      </w:r>
    </w:p>
    <w:tbl>
      <w:tblPr>
        <w:tblStyle w:val="TableGrid"/>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What was done</w:t>
            </w:r>
          </w:p>
        </w:tc>
        <w:tc>
          <w:tcPr>
            <w:tcW w:type="dxa" w:w="3312"/>
          </w:tcPr>
          <w:p>
            <w:r>
              <w:t>Main output</w:t>
            </w:r>
          </w:p>
        </w:tc>
      </w:tr>
      <w:tr>
        <w:tc>
          <w:tcPr>
            <w:tcW w:type="dxa" w:w="3312"/>
          </w:tcPr>
          <w:p>
            <w:r>
              <w:t>Planning</w:t>
            </w:r>
          </w:p>
        </w:tc>
        <w:tc>
          <w:tcPr>
            <w:tcW w:type="dxa" w:w="3312"/>
          </w:tcPr>
          <w:p>
            <w:r>
              <w:t>Defined scope, objectives, risks, ethics, and timeline.</w:t>
            </w:r>
          </w:p>
        </w:tc>
        <w:tc>
          <w:tcPr>
            <w:tcW w:type="dxa" w:w="3312"/>
          </w:tcPr>
          <w:p>
            <w:r>
              <w:t>End-to-end project strategy</w:t>
            </w:r>
          </w:p>
        </w:tc>
      </w:tr>
      <w:tr>
        <w:tc>
          <w:tcPr>
            <w:tcW w:type="dxa" w:w="3312"/>
          </w:tcPr>
          <w:p>
            <w:r>
              <w:t>Cleaning</w:t>
            </w:r>
          </w:p>
        </w:tc>
        <w:tc>
          <w:tcPr>
            <w:tcW w:type="dxa" w:w="3312"/>
          </w:tcPr>
          <w:p>
            <w:r>
              <w:t>Assessed placeholders, missingness, duplicates, categories, ranges, and leakage risks.</w:t>
            </w:r>
          </w:p>
        </w:tc>
        <w:tc>
          <w:tcPr>
            <w:tcW w:type="dxa" w:w="3312"/>
          </w:tcPr>
          <w:p>
            <w:r>
              <w:t>Reproducible preprocessing methodology</w:t>
            </w:r>
          </w:p>
        </w:tc>
      </w:tr>
      <w:tr>
        <w:tc>
          <w:tcPr>
            <w:tcW w:type="dxa" w:w="3312"/>
          </w:tcPr>
          <w:p>
            <w:r>
              <w:t>EDA</w:t>
            </w:r>
          </w:p>
        </w:tc>
        <w:tc>
          <w:tcPr>
            <w:tcW w:type="dxa" w:w="3312"/>
          </w:tcPr>
          <w:p>
            <w:r>
              <w:t>Summarized distributions and compared outcome groups with charts.</w:t>
            </w:r>
          </w:p>
        </w:tc>
        <w:tc>
          <w:tcPr>
            <w:tcW w:type="dxa" w:w="3312"/>
          </w:tcPr>
          <w:p>
            <w:r>
              <w:t>Descriptive findings and visualization plan</w:t>
            </w:r>
          </w:p>
        </w:tc>
      </w:tr>
      <w:tr>
        <w:tc>
          <w:tcPr>
            <w:tcW w:type="dxa" w:w="3312"/>
          </w:tcPr>
          <w:p>
            <w:r>
              <w:t>Modeling</w:t>
            </w:r>
          </w:p>
        </w:tc>
        <w:tc>
          <w:tcPr>
            <w:tcW w:type="dxa" w:w="3312"/>
          </w:tcPr>
          <w:p>
            <w:r>
              <w:t>Built a class-weighted logistic regression baseline with a stratified split.</w:t>
            </w:r>
          </w:p>
        </w:tc>
        <w:tc>
          <w:tcPr>
            <w:tcW w:type="dxa" w:w="3312"/>
          </w:tcPr>
          <w:p>
            <w:r>
              <w:t>Baseline performance metrics</w:t>
            </w:r>
          </w:p>
        </w:tc>
      </w:tr>
      <w:tr>
        <w:tc>
          <w:tcPr>
            <w:tcW w:type="dxa" w:w="3312"/>
          </w:tcPr>
          <w:p>
            <w:r>
              <w:t>Evaluation</w:t>
            </w:r>
          </w:p>
        </w:tc>
        <w:tc>
          <w:tcPr>
            <w:tcW w:type="dxa" w:w="3312"/>
          </w:tcPr>
          <w:p>
            <w:r>
              <w:t>Integrated evidence and documented limitations/recommendations.</w:t>
            </w:r>
          </w:p>
        </w:tc>
        <w:tc>
          <w:tcPr>
            <w:tcW w:type="dxa" w:w="3312"/>
          </w:tcPr>
          <w:p>
            <w:r>
              <w:t>Final project assessment</w:t>
            </w:r>
          </w:p>
        </w:tc>
      </w:tr>
    </w:tbl>
    <w:p>
      <w:pPr>
        <w:pStyle w:val="Heading1"/>
      </w:pPr>
      <w:r>
        <w:t>2. Key Findings</w:t>
      </w:r>
    </w:p>
    <w:p>
      <w:pPr>
        <w:pStyle w:val="ListBullet"/>
      </w:pPr>
      <w:r>
        <w:t>The dataset contains 101,766 encounters across 50 fields, with substantial missingness in some variables such as weight, HbA1c result, and maximum glucose serum result.</w:t>
      </w:r>
    </w:p>
    <w:p>
      <w:pPr>
        <w:pStyle w:val="ListBullet"/>
      </w:pPr>
      <w:r>
        <w:t>Early readmission (&lt;30 days) accounts for 11.16% of encounters, so class imbalance must be considered when evaluating predictive models.</w:t>
      </w:r>
    </w:p>
    <w:p>
      <w:pPr>
        <w:pStyle w:val="ListBullet"/>
      </w:pPr>
      <w:r>
        <w:t>The dataset has no exact duplicate rows based on all 50 columns.</w:t>
      </w:r>
    </w:p>
    <w:p>
      <w:pPr>
        <w:pStyle w:val="ListBullet"/>
      </w:pPr>
      <w:r>
        <w:t>Average length of stay is 4.40 days and median length of stay is 4 days.</w:t>
      </w:r>
    </w:p>
    <w:p>
      <w:pPr>
        <w:pStyle w:val="ListBullet"/>
      </w:pPr>
      <w:r>
        <w:t>The EDA shows that the encounter population is concentrated in older age groups, while descriptive gender differences in early readmission are relatively small.</w:t>
      </w:r>
    </w:p>
    <w:p>
      <w:pPr>
        <w:pStyle w:val="ListBullet"/>
      </w:pPr>
      <w:r>
        <w:t>The baseline model provides a starting point rather than a final solution: ROC-AUC 0.646, recall 0.519, precision 0.174, and F1 0.261.</w:t>
      </w:r>
    </w:p>
    <w:p>
      <w:pPr>
        <w:pStyle w:val="Heading1"/>
      </w:pPr>
      <w:r>
        <w:t>3. Strengths</w:t>
      </w:r>
    </w:p>
    <w:p>
      <w:pPr>
        <w:pStyle w:val="ListBullet"/>
      </w:pPr>
      <w:r>
        <w:t>Uses the supplied healthcare dataset consistently across all project stages.</w:t>
      </w:r>
    </w:p>
    <w:p>
      <w:pPr>
        <w:pStyle w:val="ListBullet"/>
      </w:pPr>
      <w:r>
        <w:t>Documents missingness rather than silently treating unavailable values as zeros.</w:t>
      </w:r>
    </w:p>
    <w:p>
      <w:pPr>
        <w:pStyle w:val="ListBullet"/>
      </w:pPr>
      <w:r>
        <w:t>Uses a held-out stratified test set and a reproducible preprocessing pipeline.</w:t>
      </w:r>
    </w:p>
    <w:p>
      <w:pPr>
        <w:pStyle w:val="ListBullet"/>
      </w:pPr>
      <w:r>
        <w:t>Reports multiple classification metrics instead of relying on accuracy alone.</w:t>
      </w:r>
    </w:p>
    <w:p>
      <w:pPr>
        <w:pStyle w:val="ListBullet"/>
      </w:pPr>
      <w:r>
        <w:t>Separates descriptive patterns from causal claims.</w:t>
      </w:r>
    </w:p>
    <w:p>
      <w:pPr>
        <w:pStyle w:val="Heading1"/>
      </w:pPr>
      <w:r>
        <w:t>4. Limitations</w:t>
      </w:r>
    </w:p>
    <w:p>
      <w:pPr>
        <w:pStyle w:val="ListBullet"/>
      </w:pPr>
      <w:r>
        <w:t>The analysis is based on one supplied dataset and should not be assumed to generalize to other hospitals or populations.</w:t>
      </w:r>
    </w:p>
    <w:p>
      <w:pPr>
        <w:pStyle w:val="ListBullet"/>
      </w:pPr>
      <w:r>
        <w:t>Some variables have very high missingness, limiting their direct usefulness.</w:t>
      </w:r>
    </w:p>
    <w:p>
      <w:pPr>
        <w:pStyle w:val="ListBullet"/>
      </w:pPr>
      <w:r>
        <w:t>The baseline model is not externally validated or clinically calibrated.</w:t>
      </w:r>
    </w:p>
    <w:p>
      <w:pPr>
        <w:pStyle w:val="ListBullet"/>
      </w:pPr>
      <w:r>
        <w:t>The analysis does not establish that any observed factor causes readmission.</w:t>
      </w:r>
    </w:p>
    <w:p>
      <w:pPr>
        <w:pStyle w:val="ListBullet"/>
      </w:pPr>
      <w:r>
        <w:t>Patient-level clinical context and post-discharge factors may not be fully represented in the available fields.</w:t>
      </w:r>
    </w:p>
    <w:p>
      <w:pPr>
        <w:pStyle w:val="Heading1"/>
      </w:pPr>
      <w:r>
        <w:t>5. Recommendations for Further Analysis</w:t>
      </w:r>
    </w:p>
    <w:p>
      <w:pPr>
        <w:pStyle w:val="ListNumber"/>
      </w:pPr>
      <w:r>
        <w:t>Compare logistic regression with decision tree and random forest models using the same stratified evaluation framework.</w:t>
      </w:r>
    </w:p>
    <w:p>
      <w:pPr>
        <w:pStyle w:val="ListNumber"/>
      </w:pPr>
      <w:r>
        <w:t>Perform threshold analysis because the preferred balance between false positives and false negatives depends on the intended operational use.</w:t>
      </w:r>
    </w:p>
    <w:p>
      <w:pPr>
        <w:pStyle w:val="ListNumber"/>
      </w:pPr>
      <w:r>
        <w:t>Assess calibration so that predicted probabilities can be interpreted appropriately.</w:t>
      </w:r>
    </w:p>
    <w:p>
      <w:pPr>
        <w:pStyle w:val="ListNumber"/>
      </w:pPr>
      <w:r>
        <w:t>Conduct subgroup performance checks across age, gender, and other relevant categories to identify performance differences.</w:t>
      </w:r>
    </w:p>
    <w:p>
      <w:pPr>
        <w:pStyle w:val="ListNumber"/>
      </w:pPr>
      <w:r>
        <w:t>Investigate the role of HbA1c testing and other diabetes-management variables with careful adjustment for confounding; treat associations as hypotheses rather than causal conclusions.</w:t>
      </w:r>
    </w:p>
    <w:p>
      <w:pPr>
        <w:pStyle w:val="ListNumber"/>
      </w:pPr>
      <w:r>
        <w:t>Document model/data drift and establish monitoring procedures before considering any real operational deployment.</w:t>
      </w:r>
    </w:p>
    <w:p>
      <w:pPr>
        <w:pStyle w:val="Heading1"/>
      </w:pPr>
      <w:r>
        <w:t>6. Strategic Recommendations</w:t>
      </w:r>
    </w:p>
    <w:p>
      <w:r>
        <w:t>For an educational healthcare analytics workflow, the most defensible next step is to improve evidence quality before making operational claims. Organizations using a similar dataset could prioritize standardized data capture, explicit documentation of missing clinical measurements, and routine monitoring of readmission-related indicators. Predictive models should be considered decision-support research until they have undergone appropriate clinical, statistical, fairness, privacy, and governance review.</w:t>
      </w:r>
    </w:p>
    <w:p>
      <w:pPr>
        <w:pStyle w:val="Heading1"/>
      </w:pPr>
      <w:r>
        <w:t>7. Final Conclusion</w:t>
      </w:r>
    </w:p>
    <w:p>
      <w:r>
        <w:t>The project demonstrates an end-to-end healthcare data analytics lifecycle: define the question, understand data quality, prepare the data, explore patterns, build a baseline predictive model, evaluate it with appropriate metrics, and communicate limitations and next steps. The supplied dataset is suitable for demonstrating this workflow because it contains rich encounter, utilization, medication, diagnosis, and readmission information while also exposing realistic challenges such as missingness and class imbalance.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