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</w:tcPr>
          <w:p>
            <w:pPr>
              <w:keepLines/>
              <w:jc w:val="center"/>
            </w:pPr>
            <w:r/>
            <w:r>
              <w:rPr>
                <w:rFonts w:ascii="Arial" w:hAnsi="Arial"/>
                <w:b/>
                <w:color w:val="FFFFFF"/>
                <w:sz w:val="50"/>
              </w:rPr>
              <w:t>MICROSOFT INVESTMENT MEMO</w:t>
            </w:r>
          </w:p>
          <w:p>
            <w:pPr>
              <w:keepLines/>
              <w:jc w:val="center"/>
            </w:pPr>
            <w:r>
              <w:rPr>
                <w:b/>
                <w:color w:val="FFFFFF"/>
                <w:sz w:val="30"/>
              </w:rPr>
              <w:t>Buffett-Inspired Business Quality and DCF Assessment</w:t>
            </w:r>
          </w:p>
          <w:p>
            <w:pPr>
              <w:keepLines/>
            </w:pPr>
          </w:p>
          <w:p>
            <w:pPr>
              <w:keepLines/>
              <w:jc w:val="center"/>
            </w:pPr>
            <w:r>
              <w:rPr>
                <w:color w:val="FFFFFF"/>
                <w:sz w:val="22"/>
              </w:rPr>
              <w:t>Valuation date: August 6, 2026</w:t>
            </w:r>
          </w:p>
          <w:p>
            <w:pPr>
              <w:keepLines/>
              <w:jc w:val="center"/>
            </w:pPr>
            <w:r>
              <w:rPr>
                <w:color w:val="FFFFFF"/>
                <w:sz w:val="22"/>
              </w:rPr>
              <w:t>Author: Yagni Patel</w:t>
            </w:r>
          </w:p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4472C4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Price</w:t>
            </w:r>
          </w:p>
        </w:tc>
        <w:tc>
          <w:tcPr>
            <w:tcW w:type="dxa" w:w="2592"/>
            <w:shd w:fill="4472C4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Base DCF Value</w:t>
            </w:r>
          </w:p>
        </w:tc>
        <w:tc>
          <w:tcPr>
            <w:tcW w:type="dxa" w:w="2592"/>
            <w:shd w:fill="4472C4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15% MOS Price</w:t>
            </w:r>
          </w:p>
        </w:tc>
        <w:tc>
          <w:tcPr>
            <w:tcW w:type="dxa" w:w="2592"/>
            <w:shd w:fill="4472C4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Stance</w:t>
            </w:r>
          </w:p>
        </w:tc>
      </w:tr>
      <w:tr>
        <w:tc>
          <w:tcPr>
            <w:tcW w:type="dxa" w:w="2592"/>
            <w:shd w:fill="F4F8FB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30"/>
              </w:rPr>
              <w:t>$499.86</w:t>
            </w:r>
          </w:p>
        </w:tc>
        <w:tc>
          <w:tcPr>
            <w:tcW w:type="dxa" w:w="2592"/>
            <w:shd w:fill="F4F8FB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30"/>
              </w:rPr>
              <w:t>$367.85</w:t>
            </w:r>
          </w:p>
        </w:tc>
        <w:tc>
          <w:tcPr>
            <w:tcW w:type="dxa" w:w="2592"/>
            <w:shd w:fill="E2F0D9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30"/>
              </w:rPr>
              <w:t>$312.67</w:t>
            </w:r>
          </w:p>
        </w:tc>
        <w:tc>
          <w:tcPr>
            <w:tcW w:type="dxa" w:w="2592"/>
            <w:shd w:fill="FFF2CC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30"/>
              </w:rPr>
              <w:t>WATCH / WAIT</w:t>
            </w:r>
          </w:p>
        </w:tc>
      </w:tr>
    </w:tbl>
    <w:p>
      <w:pPr>
        <w:spacing w:before="360"/>
        <w:jc w:val="center"/>
      </w:pPr>
      <w:r>
        <w:rPr>
          <w:b/>
          <w:color w:val="1F4E78"/>
          <w:sz w:val="32"/>
        </w:rPr>
        <w:t>Exceptional business quality. Insufficient margin of safety.</w:t>
      </w:r>
    </w:p>
    <w:p>
      <w:pPr>
        <w:jc w:val="center"/>
      </w:pPr>
      <w:r>
        <w:rPr>
          <w:i/>
          <w:color w:val="646464"/>
          <w:sz w:val="18"/>
        </w:rPr>
        <w:t>Educational portfolio analysis - not investment advice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Executive Summary</w:t>
            </w:r>
          </w:p>
        </w:tc>
      </w:tr>
    </w:tbl>
    <w:p>
      <w:pPr>
        <w:spacing w:after="40"/>
      </w:pPr>
    </w:p>
    <w:p>
      <w:pPr>
        <w:pStyle w:val="BodyText"/>
      </w:pPr>
      <w:r>
        <w:t>Microsoft is an exceptional business with a broad moat, recurring enterprise revenue, high margins, strong cash conversion, and attractive returns on capital. The investment question is not whether Microsoft is a high-quality company. It is whether the current price provides a sufficient margin of safety after accounting for the extraordinary capital required to build AI and cloud capacity.</w:t>
      </w:r>
    </w:p>
    <w:p>
      <w:pPr>
        <w:pStyle w:val="BodyText"/>
      </w:pPr>
      <w:r>
        <w:t>The base DCF values Microsoft at $367.85 per share, implying 26.41% downside to the $499.86 reference price. The reverse DCF indicates that the market price requires 7.41 percentage points of additional FY2027E consolidated revenue growth above the base case, taking implied growth from 16.22% to 23.62%, with the uplift fading to zero by FY2036E.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Decision metric</w:t>
            </w:r>
          </w:p>
        </w:tc>
        <w:tc>
          <w:tcPr>
            <w:tcW w:type="dxa" w:w="2880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Investment stance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WATCH / WAIT</w:t>
            </w:r>
          </w:p>
        </w:tc>
      </w:tr>
      <w:tr>
        <w:tc>
          <w:tcPr>
            <w:tcW w:type="dxa" w:w="604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Buffett-inspired overall score</w:t>
            </w:r>
          </w:p>
        </w:tc>
        <w:tc>
          <w:tcPr>
            <w:tcW w:type="dxa" w:w="288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74.5 / 100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Business quality excluding valuation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88.1 / 100</w:t>
            </w:r>
          </w:p>
        </w:tc>
      </w:tr>
      <w:tr>
        <w:tc>
          <w:tcPr>
            <w:tcW w:type="dxa" w:w="604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Base intrinsic value</w:t>
            </w:r>
          </w:p>
        </w:tc>
        <w:tc>
          <w:tcPr>
            <w:tcW w:type="dxa" w:w="288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$367.85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Current market price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$499.86</w:t>
            </w:r>
          </w:p>
        </w:tc>
      </w:tr>
      <w:tr>
        <w:tc>
          <w:tcPr>
            <w:tcW w:type="dxa" w:w="604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15% margin-of-safety price</w:t>
            </w:r>
          </w:p>
        </w:tc>
        <w:tc>
          <w:tcPr>
            <w:tcW w:type="dxa" w:w="288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$312.67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Reverse DCF FY2027E growth uplift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7.41 pp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22"/>
              </w:rPr>
              <w:t>Investment question: Can Microsoft's AI and cloud investments generate sufficient long-term free cash flow growth and returns to justify its current valuation?</w:t>
            </w:r>
          </w:p>
        </w:tc>
      </w:tr>
    </w:tbl>
    <w:p>
      <w:pPr>
        <w:spacing w:before="160"/>
        <w:jc w:val="center"/>
      </w:pPr>
      <w:r>
        <w:rPr>
          <w:b/>
        </w:rPr>
        <w:t>Conclusion: Microsoft's AI and cloud investments may justify today's valuation, but the market price already assumes a more aggressive monetization path than the base case.</w:t>
      </w:r>
      <w:r/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Business Overview &amp; Operating Momentum</w:t>
            </w:r>
          </w:p>
        </w:tc>
      </w:tr>
    </w:tbl>
    <w:p>
      <w:pPr>
        <w:spacing w:after="40"/>
      </w:pPr>
    </w:p>
    <w:p>
      <w:pPr>
        <w:pStyle w:val="BodyText"/>
      </w:pPr>
      <w:r>
        <w:t>Microsoft generated FY2026 revenue of $331.8 billion, up 18%, and operating income of $155.2 billion, up 21%. Azure annual revenue surpassed $100 billion, Microsoft 365 Copilot exceeded 30 million paid seats, and commercial remaining performance obligation reached $678 billion. These results support the durability of the enterprise franchise and the breadth of AI demand.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03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72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Revenue ($mm)</w:t>
            </w:r>
          </w:p>
        </w:tc>
        <w:tc>
          <w:tcPr>
            <w:tcW w:type="dxa" w:w="1584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Growth</w:t>
            </w:r>
          </w:p>
        </w:tc>
        <w:tc>
          <w:tcPr>
            <w:tcW w:type="dxa" w:w="187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Operating margin</w:t>
            </w:r>
          </w:p>
        </w:tc>
      </w:tr>
      <w:tr>
        <w:tc>
          <w:tcPr>
            <w:tcW w:type="dxa" w:w="403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Productivity &amp; Business Processes</w:t>
            </w:r>
          </w:p>
        </w:tc>
        <w:tc>
          <w:tcPr>
            <w:tcW w:type="dxa" w:w="172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139,996</w:t>
            </w:r>
          </w:p>
        </w:tc>
        <w:tc>
          <w:tcPr>
            <w:tcW w:type="dxa" w:w="1584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15.88%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59.92%</w:t>
            </w:r>
          </w:p>
        </w:tc>
      </w:tr>
      <w:tr>
        <w:tc>
          <w:tcPr>
            <w:tcW w:type="dxa" w:w="403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Intelligent Cloud</w:t>
            </w:r>
          </w:p>
        </w:tc>
        <w:tc>
          <w:tcPr>
            <w:tcW w:type="dxa" w:w="172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137,791</w:t>
            </w:r>
          </w:p>
        </w:tc>
        <w:tc>
          <w:tcPr>
            <w:tcW w:type="dxa" w:w="1584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29.67%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41.35%</w:t>
            </w:r>
          </w:p>
        </w:tc>
      </w:tr>
      <w:tr>
        <w:tc>
          <w:tcPr>
            <w:tcW w:type="dxa" w:w="403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More Personal Computing</w:t>
            </w:r>
          </w:p>
        </w:tc>
        <w:tc>
          <w:tcPr>
            <w:tcW w:type="dxa" w:w="172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54,052</w:t>
            </w:r>
          </w:p>
        </w:tc>
        <w:tc>
          <w:tcPr>
            <w:tcW w:type="dxa" w:w="1584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(1.09%)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26.62%</w:t>
            </w:r>
          </w:p>
        </w:tc>
      </w:tr>
    </w:tbl>
    <w:p>
      <w:pPr>
        <w:pStyle w:val="BodyText"/>
      </w:pPr>
      <w:r>
        <w:t>Productivity &amp; Business Processes remains the primary margin engine. Intelligent Cloud is the main growth engine, but its economics are more capital-intensive and exposed to utilization, depreciation, energy, and AI-serving costs.</w:t>
      </w:r>
    </w:p>
    <w:p>
      <w:r>
        <w:drawing>
          <wp:inline xmlns:a="http://schemas.openxmlformats.org/drawingml/2006/main" xmlns:pic="http://schemas.openxmlformats.org/drawingml/2006/picture">
            <wp:extent cx="6217920" cy="61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95959"/>
          <w:sz w:val="16"/>
        </w:rPr>
        <w:t>Figure 1 - Executive model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pageBreakBefore/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Buffett-Inspired Five-Tenet Assessment</w:t>
            </w:r>
          </w:p>
        </w:tc>
      </w:tr>
    </w:tbl>
    <w:p>
      <w:pPr>
        <w:spacing w:after="40"/>
      </w:pPr>
    </w:p>
    <w:p>
      <w:pPr>
        <w:pStyle w:val="BodyText"/>
      </w:pPr>
      <w:r>
        <w:t>The framework is analyst-created and is not an official Berkshire Hathaway checklist. It is designed to separate franchise quality from purchase-price discipline.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60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Tenet</w:t>
            </w:r>
          </w:p>
        </w:tc>
        <w:tc>
          <w:tcPr>
            <w:tcW w:type="dxa" w:w="115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1440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187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460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Business clarity and predictability</w:t>
            </w:r>
          </w:p>
        </w:tc>
        <w:tc>
          <w:tcPr>
            <w:tcW w:type="dxa" w:w="115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15%</w:t>
            </w:r>
          </w:p>
        </w:tc>
        <w:tc>
          <w:tcPr>
            <w:tcW w:type="dxa" w:w="144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4.5 / 5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Strong</w:t>
            </w:r>
          </w:p>
        </w:tc>
      </w:tr>
      <w:tr>
        <w:tc>
          <w:tcPr>
            <w:tcW w:type="dxa" w:w="460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Durable competitive advantage</w:t>
            </w:r>
          </w:p>
        </w:tc>
        <w:tc>
          <w:tcPr>
            <w:tcW w:type="dxa" w:w="115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25%</w:t>
            </w:r>
          </w:p>
        </w:tc>
        <w:tc>
          <w:tcPr>
            <w:tcW w:type="dxa" w:w="144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5.0 / 5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Exceptional</w:t>
            </w:r>
          </w:p>
        </w:tc>
      </w:tr>
      <w:tr>
        <w:tc>
          <w:tcPr>
            <w:tcW w:type="dxa" w:w="460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Financial quality and earnings power</w:t>
            </w:r>
          </w:p>
        </w:tc>
        <w:tc>
          <w:tcPr>
            <w:tcW w:type="dxa" w:w="115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20%</w:t>
            </w:r>
          </w:p>
        </w:tc>
        <w:tc>
          <w:tcPr>
            <w:tcW w:type="dxa" w:w="144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4.5 / 5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Strong</w:t>
            </w:r>
          </w:p>
        </w:tc>
      </w:tr>
      <w:tr>
        <w:tc>
          <w:tcPr>
            <w:tcW w:type="dxa" w:w="460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Capital allocation and incremental returns</w:t>
            </w:r>
          </w:p>
        </w:tc>
        <w:tc>
          <w:tcPr>
            <w:tcW w:type="dxa" w:w="115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20%</w:t>
            </w:r>
          </w:p>
        </w:tc>
        <w:tc>
          <w:tcPr>
            <w:tcW w:type="dxa" w:w="144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3.5 / 5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Good / Monitor</w:t>
            </w:r>
          </w:p>
        </w:tc>
      </w:tr>
      <w:tr>
        <w:tc>
          <w:tcPr>
            <w:tcW w:type="dxa" w:w="460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Valuation and margin of safety</w:t>
            </w:r>
          </w:p>
        </w:tc>
        <w:tc>
          <w:tcPr>
            <w:tcW w:type="dxa" w:w="115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20%</w:t>
            </w:r>
          </w:p>
        </w:tc>
        <w:tc>
          <w:tcPr>
            <w:tcW w:type="dxa" w:w="144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1.0 / 5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Weak</w:t>
            </w:r>
          </w:p>
        </w:tc>
      </w:tr>
      <w:tr>
        <w:tc>
          <w:tcPr>
            <w:tcW w:type="dxa" w:w="460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Overall</w:t>
            </w:r>
          </w:p>
        </w:tc>
        <w:tc>
          <w:tcPr>
            <w:tcW w:type="dxa" w:w="115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100%</w:t>
            </w:r>
          </w:p>
        </w:tc>
        <w:tc>
          <w:tcPr>
            <w:tcW w:type="dxa" w:w="144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74.5 / 100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WATCH / WAIT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18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ffett_5_ten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8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95959"/>
          <w:sz w:val="16"/>
        </w:rPr>
        <w:t>Figure 2 - Buffett-inspired scorecard and decision framework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Owner Earnings and AI Reinvestment Economics</w:t>
            </w:r>
          </w:p>
        </w:tc>
      </w:tr>
    </w:tbl>
    <w:p>
      <w:pPr>
        <w:spacing w:after="40"/>
      </w:pPr>
    </w:p>
    <w:p>
      <w:pPr>
        <w:pStyle w:val="BodyText"/>
      </w:pPr>
      <w:r>
        <w:t>Microsoft's FY2026 operating margin reached 46.78%, while CFO was 136.77% of net income. ROIC was 33.55%, but it declined as invested capital expanded. The most important trend is the divergence between accounting profitability and cash economics.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87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FY2026 result</w:t>
            </w:r>
          </w:p>
        </w:tc>
        <w:tc>
          <w:tcPr>
            <w:tcW w:type="dxa" w:w="4320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Operating margin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46.78%</w:t>
            </w:r>
          </w:p>
        </w:tc>
        <w:tc>
          <w:tcPr>
            <w:tcW w:type="dxa" w:w="432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Strong operating leverage and mix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CFO / Net Income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136.77%</w:t>
            </w:r>
          </w:p>
        </w:tc>
        <w:tc>
          <w:tcPr>
            <w:tcW w:type="dxa" w:w="432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High reported earnings conversion</w:t>
            </w:r>
          </w:p>
        </w:tc>
      </w:tr>
      <w:tr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ROIC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33.55%</w:t>
            </w:r>
          </w:p>
        </w:tc>
        <w:tc>
          <w:tcPr>
            <w:tcW w:type="dxa" w:w="432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Attractive, but declining as capital expands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Incremental ROIC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19.34%</w:t>
            </w:r>
          </w:p>
        </w:tc>
        <w:tc>
          <w:tcPr>
            <w:tcW w:type="dxa" w:w="432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Above WACC; proof period continues</w:t>
            </w:r>
          </w:p>
        </w:tc>
      </w:tr>
      <w:tr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Cash CapEx / Revenue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34.94%</w:t>
            </w:r>
          </w:p>
        </w:tc>
        <w:tc>
          <w:tcPr>
            <w:tcW w:type="dxa" w:w="432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Extremely high infrastructure intensity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Total CapEx / Revenue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42.36%</w:t>
            </w:r>
          </w:p>
        </w:tc>
        <w:tc>
          <w:tcPr>
            <w:tcW w:type="dxa" w:w="432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Includes finance-lease additions</w:t>
            </w:r>
          </w:p>
        </w:tc>
      </w:tr>
      <w:tr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Cash FCF margin</w:t>
            </w:r>
          </w:p>
        </w:tc>
        <w:tc>
          <w:tcPr>
            <w:tcW w:type="dxa" w:w="187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20.19%</w:t>
            </w:r>
          </w:p>
        </w:tc>
        <w:tc>
          <w:tcPr>
            <w:tcW w:type="dxa" w:w="432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Cash generation pressured by CapEx</w:t>
            </w:r>
          </w:p>
        </w:tc>
      </w:tr>
      <w:tr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Lease-Adjusted UFCF margin</w:t>
            </w:r>
          </w:p>
        </w:tc>
        <w:tc>
          <w:tcPr>
            <w:tcW w:type="dxa" w:w="187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9.32%</w:t>
            </w:r>
          </w:p>
        </w:tc>
        <w:tc>
          <w:tcPr>
            <w:tcW w:type="dxa" w:w="432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Economic cash flow after total infrastructure investment</w:t>
            </w:r>
          </w:p>
        </w:tc>
      </w:tr>
    </w:tbl>
    <w:p>
      <w:pPr>
        <w:pStyle w:val="BodyText"/>
      </w:pPr>
      <w:r>
        <w:t>The model does not conclude that AI investment is destroying value. Incremental ROIC remains above the 9.47% WACC. The conclusion is that the proof period is incomplete: utilization and monetization must catch up with the installed capacity while CapEx intensity normalizes.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Lines/>
              <w:jc w:val="center"/>
            </w:pPr>
            <w:r/>
            <w:r/>
          </w:p>
        </w:tc>
        <w:tc>
          <w:tcPr>
            <w:tcW w:type="dxa" w:w="5184"/>
          </w:tcPr>
          <w:p>
            <w:pPr>
              <w:keepLines/>
              <w:jc w:val="center"/>
            </w:pPr>
            <w:r/>
            <w:r/>
          </w:p>
        </w:tc>
      </w:tr>
    </w:tbl>
    <w:p>
      <w:pPr>
        <w:spacing w:after="80"/>
        <w:jc w:val="center"/>
      </w:pPr>
      <w:r>
        <w:rPr>
          <w:i/>
          <w:color w:val="595959"/>
          <w:sz w:val="16"/>
        </w:rPr>
        <w:t>Figures 3-4 - Base DCF and WACC/terminal-growth sensitivity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Forecast, DCF &amp; Market-Implied Expectations</w:t>
            </w:r>
          </w:p>
        </w:tc>
      </w:tr>
    </w:tbl>
    <w:p>
      <w:pPr>
        <w:spacing w:after="40"/>
      </w:pPr>
    </w:p>
    <w:p>
      <w:pPr>
        <w:pStyle w:val="BodyText"/>
      </w:pPr>
      <w:r>
        <w:t>The base forecast models each segment independently through FY2036E. Consolidated revenue growth declines from 16.22% in FY2027E toward 4.74% in FY2036E. Operating margin remains between roughly 46% and 47%, while Total CapEx / Revenue declines from 43% to 16% as the infrastructure cycle normalizes.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616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Valuation output</w:t>
            </w:r>
          </w:p>
        </w:tc>
        <w:tc>
          <w:tcPr>
            <w:tcW w:type="dxa" w:w="316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616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WACC</w:t>
            </w:r>
          </w:p>
        </w:tc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9.47%</w:t>
            </w:r>
          </w:p>
        </w:tc>
      </w:tr>
      <w:tr>
        <w:tc>
          <w:tcPr>
            <w:tcW w:type="dxa" w:w="5616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Terminal growth</w:t>
            </w:r>
          </w:p>
        </w:tc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3.00%</w:t>
            </w:r>
          </w:p>
        </w:tc>
      </w:tr>
      <w:tr>
        <w:tc>
          <w:tcPr>
            <w:tcW w:type="dxa" w:w="5616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Enterprise value</w:t>
            </w:r>
          </w:p>
        </w:tc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$2,735,267 million</w:t>
            </w:r>
          </w:p>
        </w:tc>
      </w:tr>
      <w:tr>
        <w:tc>
          <w:tcPr>
            <w:tcW w:type="dxa" w:w="5616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Equity value</w:t>
            </w:r>
          </w:p>
        </w:tc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$2,741,570 million</w:t>
            </w:r>
          </w:p>
        </w:tc>
      </w:tr>
      <w:tr>
        <w:tc>
          <w:tcPr>
            <w:tcW w:type="dxa" w:w="5616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Intrinsic value per share</w:t>
            </w:r>
          </w:p>
        </w:tc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$367.85</w:t>
            </w:r>
          </w:p>
        </w:tc>
      </w:tr>
      <w:tr>
        <w:tc>
          <w:tcPr>
            <w:tcW w:type="dxa" w:w="5616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Current market price</w:t>
            </w:r>
          </w:p>
        </w:tc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$499.86</w:t>
            </w:r>
          </w:p>
        </w:tc>
      </w:tr>
      <w:tr>
        <w:tc>
          <w:tcPr>
            <w:tcW w:type="dxa" w:w="5616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Implied downside</w:t>
            </w:r>
          </w:p>
        </w:tc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(26.41%)</w:t>
            </w:r>
          </w:p>
        </w:tc>
      </w:tr>
      <w:tr>
        <w:tc>
          <w:tcPr>
            <w:tcW w:type="dxa" w:w="5616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Terminal value / enterprise value</w:t>
            </w:r>
          </w:p>
        </w:tc>
        <w:tc>
          <w:tcPr>
            <w:tcW w:type="dxa" w:w="316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65.90%</w:t>
            </w:r>
          </w:p>
        </w:tc>
      </w:tr>
      <w:tr>
        <w:tc>
          <w:tcPr>
            <w:tcW w:type="dxa" w:w="5616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Implied terminal EV/UFCF</w:t>
            </w:r>
          </w:p>
        </w:tc>
        <w:tc>
          <w:tcPr>
            <w:tcW w:type="dxa" w:w="316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15.92x</w:t>
            </w:r>
          </w:p>
        </w:tc>
      </w:tr>
    </w:tbl>
    <w:p>
      <w:pPr>
        <w:pStyle w:val="BodyText"/>
      </w:pPr>
      <w:r>
        <w:t>The reverse DCF holds operating margins, reinvestment, WACC, and terminal growth constant and solves for the revenue trajectory required to reproduce the market 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03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304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Base case</w:t>
            </w:r>
          </w:p>
        </w:tc>
        <w:tc>
          <w:tcPr>
            <w:tcW w:type="dxa" w:w="2592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Market-implied</w:t>
            </w:r>
          </w:p>
        </w:tc>
      </w:tr>
      <w:tr>
        <w:tc>
          <w:tcPr>
            <w:tcW w:type="dxa" w:w="403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FY2027E revenue growth</w:t>
            </w:r>
          </w:p>
        </w:tc>
        <w:tc>
          <w:tcPr>
            <w:tcW w:type="dxa" w:w="2304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16.22%</w:t>
            </w:r>
          </w:p>
        </w:tc>
        <w:tc>
          <w:tcPr>
            <w:tcW w:type="dxa" w:w="259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23.62%</w:t>
            </w:r>
          </w:p>
        </w:tc>
      </w:tr>
      <w:tr>
        <w:tc>
          <w:tcPr>
            <w:tcW w:type="dxa" w:w="403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Growth uplift</w:t>
            </w:r>
          </w:p>
        </w:tc>
        <w:tc>
          <w:tcPr>
            <w:tcW w:type="dxa" w:w="2304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-</w:t>
            </w:r>
          </w:p>
        </w:tc>
        <w:tc>
          <w:tcPr>
            <w:tcW w:type="dxa" w:w="259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7.41 pp</w:t>
            </w:r>
          </w:p>
        </w:tc>
      </w:tr>
      <w:tr>
        <w:tc>
          <w:tcPr>
            <w:tcW w:type="dxa" w:w="403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Enterprise value</w:t>
            </w:r>
          </w:p>
        </w:tc>
        <w:tc>
          <w:tcPr>
            <w:tcW w:type="dxa" w:w="2304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$2.735 trillion</w:t>
            </w:r>
          </w:p>
        </w:tc>
        <w:tc>
          <w:tcPr>
            <w:tcW w:type="dxa" w:w="2592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$3.719 trillion</w:t>
            </w:r>
          </w:p>
        </w:tc>
      </w:tr>
      <w:tr>
        <w:tc>
          <w:tcPr>
            <w:tcW w:type="dxa" w:w="403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Implied share price</w:t>
            </w:r>
          </w:p>
        </w:tc>
        <w:tc>
          <w:tcPr>
            <w:tcW w:type="dxa" w:w="2304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$367.85</w:t>
            </w:r>
          </w:p>
        </w:tc>
        <w:tc>
          <w:tcPr>
            <w:tcW w:type="dxa" w:w="2592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$499.86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5923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se_dc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23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595959"/>
          <w:sz w:val="16"/>
        </w:rPr>
        <w:t>Figure 5 - Reverse DCF and market-implied growth path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Catalysts, Risks &amp; Monitoring</w:t>
            </w:r>
          </w:p>
        </w:tc>
      </w:tr>
    </w:tbl>
    <w:p>
      <w:pPr>
        <w:spacing w:after="40"/>
      </w:pPr>
    </w:p>
    <w:p>
      <w:pPr>
        <w:pStyle w:val="Heading2"/>
      </w:pPr>
      <w:r>
        <w:t>Potential catalysts</w:t>
      </w:r>
    </w:p>
    <w:p>
      <w:pPr>
        <w:pStyle w:val="ListBullet"/>
        <w:spacing w:after="40"/>
      </w:pPr>
      <w:r>
        <w:t>Azure growth remains near or above 40% while capacity constraints ease.</w:t>
      </w:r>
    </w:p>
    <w:p>
      <w:pPr>
        <w:pStyle w:val="ListBullet"/>
        <w:spacing w:after="40"/>
      </w:pPr>
      <w:r>
        <w:t>Microsoft 365 Copilot paid seats convert into meaningful ARPU expansion.</w:t>
      </w:r>
    </w:p>
    <w:p>
      <w:pPr>
        <w:pStyle w:val="ListBullet"/>
        <w:spacing w:after="40"/>
      </w:pPr>
      <w:r>
        <w:t>Intelligent Cloud operating margin stabilizes and begins to recover.</w:t>
      </w:r>
    </w:p>
    <w:p>
      <w:pPr>
        <w:pStyle w:val="ListBullet"/>
        <w:spacing w:after="40"/>
      </w:pPr>
      <w:r>
        <w:t>Total CapEx intensity declines faster than modeled.</w:t>
      </w:r>
    </w:p>
    <w:p>
      <w:pPr>
        <w:pStyle w:val="ListBullet"/>
        <w:spacing w:after="40"/>
      </w:pPr>
      <w:r>
        <w:t>Incremental ROIC remains above 15% as invested capital scales.</w:t>
      </w:r>
    </w:p>
    <w:p>
      <w:pPr>
        <w:pStyle w:val="ListBullet"/>
        <w:spacing w:after="40"/>
      </w:pPr>
      <w:r>
        <w:t>The share price declines toward or below the margin-of-safety range.</w:t>
      </w:r>
    </w:p>
    <w:p>
      <w:pPr>
        <w:pStyle w:val="Heading2"/>
      </w:pPr>
      <w:r>
        <w:t>Principal risks</w:t>
      </w:r>
    </w:p>
    <w:p>
      <w:pPr>
        <w:pStyle w:val="ListBullet"/>
        <w:spacing w:after="40"/>
      </w:pPr>
      <w:r>
        <w:t>AI and datacenter investment remains elevated longer than expected.</w:t>
      </w:r>
    </w:p>
    <w:p>
      <w:pPr>
        <w:pStyle w:val="ListBullet"/>
        <w:spacing w:after="40"/>
      </w:pPr>
      <w:r>
        <w:t>Capacity is underutilized or AI workload pricing becomes structurally less attractive.</w:t>
      </w:r>
    </w:p>
    <w:p>
      <w:pPr>
        <w:pStyle w:val="ListBullet"/>
        <w:spacing w:after="40"/>
      </w:pPr>
      <w:r>
        <w:t>Competition compresses Azure, Copilot, or developer-platform economics.</w:t>
      </w:r>
    </w:p>
    <w:p>
      <w:pPr>
        <w:pStyle w:val="ListBullet"/>
        <w:spacing w:after="40"/>
      </w:pPr>
      <w:r>
        <w:t>Security, privacy, regulatory, or antitrust events weaken the ecosystem.</w:t>
      </w:r>
    </w:p>
    <w:p>
      <w:pPr>
        <w:pStyle w:val="ListBullet"/>
        <w:spacing w:after="40"/>
      </w:pPr>
      <w:r>
        <w:t>The terminal valuation remains highly sensitive to WACC and perpetual growth.</w:t>
      </w:r>
    </w:p>
    <w:p>
      <w:pPr>
        <w:pStyle w:val="ListBullet"/>
        <w:spacing w:after="40"/>
      </w:pPr>
      <w:r>
        <w:t>The reverse DCF solves for one variable; other combinations could also justify the market price.</w:t>
      </w:r>
    </w:p>
    <w:p>
      <w:pPr>
        <w:pStyle w:val="Heading2"/>
      </w:pPr>
      <w:r>
        <w:t>Quarterly monitoring framework</w:t>
      </w:r>
    </w:p>
    <w:p>
      <w:pPr>
        <w:pStyle w:val="ListBullet"/>
        <w:spacing w:after="40"/>
      </w:pPr>
      <w:r>
        <w:t>Consolidated growth versus the 23.62% market-implied FY2027E threshold</w:t>
      </w:r>
    </w:p>
    <w:p>
      <w:pPr>
        <w:pStyle w:val="ListBullet"/>
        <w:spacing w:after="40"/>
      </w:pPr>
      <w:r>
        <w:t>Azure growth and Intelligent Cloud operating margin</w:t>
      </w:r>
    </w:p>
    <w:p>
      <w:pPr>
        <w:pStyle w:val="ListBullet"/>
        <w:spacing w:after="40"/>
      </w:pPr>
      <w:r>
        <w:t>Copilot paid seats, pricing, and reported monetization</w:t>
      </w:r>
    </w:p>
    <w:p>
      <w:pPr>
        <w:pStyle w:val="ListBullet"/>
        <w:spacing w:after="40"/>
      </w:pPr>
      <w:r>
        <w:t>Total CapEx / Revenue and lease-adjusted UFCF recovery</w:t>
      </w:r>
    </w:p>
    <w:p>
      <w:pPr>
        <w:pStyle w:val="ListBullet"/>
        <w:spacing w:after="40"/>
      </w:pPr>
      <w:r>
        <w:t>Incremental ROIC relative to WACC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Final Recommendation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pPr>
              <w:keepLines/>
              <w:spacing w:after="0"/>
              <w:jc w:val="center"/>
            </w:pPr>
            <w:r/>
            <w:r>
              <w:rPr>
                <w:rFonts w:ascii="Arial" w:hAnsi="Arial"/>
                <w:b/>
                <w:color w:val="222222"/>
                <w:sz w:val="22"/>
              </w:rPr>
              <w:t>WATCH / WAIT - Microsoft is an exceptional franchise, but the $499.86 reference price offers no margin of safety under the base case. The shares would merit renewed consideration near $312.67, or earlier only if AI monetization, margins, CapEx normalization, and incremental returns materially outperform the model.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048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Decision reference</w:t>
            </w:r>
          </w:p>
        </w:tc>
        <w:tc>
          <w:tcPr>
            <w:tcW w:type="dxa" w:w="2880"/>
            <w:shd w:fill="1F4E78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Price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Base intrinsic value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$367.85</w:t>
            </w:r>
          </w:p>
        </w:tc>
      </w:tr>
      <w:tr>
        <w:tc>
          <w:tcPr>
            <w:tcW w:type="dxa" w:w="604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10% margin-of-safety price</w:t>
            </w:r>
          </w:p>
        </w:tc>
        <w:tc>
          <w:tcPr>
            <w:tcW w:type="dxa" w:w="288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$331.06</w:t>
            </w:r>
          </w:p>
        </w:tc>
      </w:tr>
      <w:tr>
        <w:tc>
          <w:tcPr>
            <w:tcW w:type="dxa" w:w="6048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15% margin-of-safety price</w:t>
            </w:r>
          </w:p>
        </w:tc>
        <w:tc>
          <w:tcPr>
            <w:tcW w:type="dxa" w:w="2880"/>
            <w:shd w:fill="F4F8FB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$312.67</w:t>
            </w:r>
          </w:p>
        </w:tc>
      </w:tr>
      <w:tr>
        <w:tc>
          <w:tcPr>
            <w:tcW w:type="dxa" w:w="6048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222222"/>
                <w:sz w:val="17"/>
              </w:rPr>
              <w:t>20% margin-of-safety price</w:t>
            </w:r>
          </w:p>
        </w:tc>
        <w:tc>
          <w:tcPr>
            <w:tcW w:type="dxa" w:w="2880"/>
            <w:shd w:fill="FFFFFF"/>
            <w:vAlign w:val="center"/>
            <w:tcBorders>
              <w:bottom w:val="single" w:sz="3" w:color="D9D9D9"/>
            </w:tcBorders>
          </w:tcPr>
          <w:p>
            <w:pPr>
              <w:keepLines/>
              <w:spacing w:after="0"/>
              <w:jc w:val="righ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$294.28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8"/>
            <w:vAlign w:val="center"/>
          </w:tcPr>
          <w:p>
            <w:pPr>
              <w:keepLines/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Sources, Methodology &amp; Limitations</w:t>
            </w:r>
          </w:p>
        </w:tc>
      </w:tr>
    </w:tbl>
    <w:p>
      <w:pPr>
        <w:spacing w:after="40"/>
      </w:pPr>
    </w:p>
    <w:p>
      <w:pPr>
        <w:pStyle w:val="Heading2"/>
      </w:pPr>
      <w:r>
        <w:t>Primary sources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Microsoft FY2026 Q4 earnings release and financial statements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Microsoft FY2025 Annual Report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Microsoft SEC filings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U.S. Treasury daily yield curve rates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NYU Stern current valuation data</w:t>
        </w:r>
      </w:hyperlink>
    </w:p>
    <w:p>
      <w:pPr>
        <w:pStyle w:val="Heading2"/>
      </w:pPr>
      <w:r>
        <w:t>Methodology summary</w:t>
      </w:r>
    </w:p>
    <w:p>
      <w:pPr>
        <w:pStyle w:val="ListBullet"/>
        <w:spacing w:after="40"/>
      </w:pPr>
      <w:r>
        <w:t>Segment-driven operating forecast through FY2036E.</w:t>
      </w:r>
    </w:p>
    <w:p>
      <w:pPr>
        <w:pStyle w:val="ListBullet"/>
        <w:spacing w:after="40"/>
      </w:pPr>
      <w:r>
        <w:t>Lease-adjusted UFCF subtracts Total CapEx, including finance-lease additions.</w:t>
      </w:r>
    </w:p>
    <w:p>
      <w:pPr>
        <w:pStyle w:val="ListBullet"/>
        <w:spacing w:after="40"/>
      </w:pPr>
      <w:r>
        <w:t>Mid-year DCF with 9.47% WACC and 3.00% terminal growth.</w:t>
      </w:r>
    </w:p>
    <w:p>
      <w:pPr>
        <w:pStyle w:val="ListBullet"/>
        <w:spacing w:after="40"/>
      </w:pPr>
      <w:r>
        <w:t>Reverse DCF solves for a consolidated revenue-growth uplift while holding other variables constant.</w:t>
      </w:r>
    </w:p>
    <w:p>
      <w:pPr>
        <w:pStyle w:val="ListBullet"/>
        <w:spacing w:after="40"/>
      </w:pPr>
      <w:r>
        <w:t>Buffett-inspired scorecard is an analyst-created decision framework, not an official Berkshire checklist.</w:t>
      </w:r>
    </w:p>
    <w:p>
      <w:pPr>
        <w:pStyle w:val="Heading2"/>
      </w:pPr>
      <w:r>
        <w:t>Limitations</w:t>
      </w:r>
    </w:p>
    <w:p>
      <w:pPr>
        <w:pStyle w:val="ListBullet"/>
        <w:spacing w:after="40"/>
      </w:pPr>
      <w:r>
        <w:t>FY2026 diluted weighted-average shares are used as a proxy rather than a full treasury-stock-method dilution schedule.</w:t>
      </w:r>
    </w:p>
    <w:p>
      <w:pPr>
        <w:pStyle w:val="ListBullet"/>
        <w:spacing w:after="40"/>
      </w:pPr>
      <w:r>
        <w:t>Bear/Base/Bull scenarios vary WACC and terminal growth rather than using independent operating forecasts.</w:t>
      </w:r>
    </w:p>
    <w:p>
      <w:pPr>
        <w:pStyle w:val="ListBullet"/>
        <w:spacing w:after="40"/>
      </w:pPr>
      <w:r>
        <w:t>The reverse DCF changes one variable while holding margins and reinvestment constant.</w:t>
      </w:r>
    </w:p>
    <w:p>
      <w:pPr>
        <w:pStyle w:val="ListBullet"/>
        <w:spacing w:after="40"/>
      </w:pPr>
      <w:r>
        <w:t>ERP, beta, debt cost, market price, and Treasury inputs should be refreshed when the valuation date changes.</w:t>
      </w:r>
    </w:p>
    <w:p>
      <w:pPr>
        <w:pStyle w:val="ListBullet"/>
        <w:spacing w:after="40"/>
      </w:pPr>
      <w:r>
        <w:t>This memo is an educational portfolio analysis and is not investment advice.</w:t>
      </w:r>
    </w:p>
    <w:p>
      <w:pPr>
        <w:spacing w:before="240"/>
        <w:jc w:val="center"/>
      </w:pPr>
      <w:r>
        <w:rPr>
          <w:b/>
          <w:color w:val="1F4E78"/>
        </w:rPr>
        <w:t>Model workbook: Microsoft_DCF_Analysis_Final.xlsx</w:t>
      </w:r>
    </w:p>
    <w:sectPr w:rsidR="00FC693F" w:rsidRPr="0006063C" w:rsidSect="00034616">
      <w:headerReference w:type="default" r:id="rId9"/>
      <w:footerReference w:type="default" r:id="rId10"/>
      <w:headerReference w:type="first" r:id="rId21"/>
      <w:footerReference w:type="first" r:id="rId22"/>
      <w:headerReference w:type="even" r:id="rId23"/>
      <w:footerReference w:type="even" r:id="rId24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5"/>
      </w:rPr>
      <w:t xml:space="preserve">Yagni Patel  |  Educational portfolio analysis - not investment advice  |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F4E78"/>
        <w:sz w:val="16"/>
      </w:rPr>
      <w:t>MICROSOFT INVESTMENT MEMO  |  AUGUST 6,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7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microsoft.com/en-us/investor/earnings/fy-2026-q4/press-release-webcast" TargetMode="External"/><Relationship Id="rId17" Type="http://schemas.openxmlformats.org/officeDocument/2006/relationships/hyperlink" Target="https://www.microsoft.com/investor/reports/ar25/index.html" TargetMode="External"/><Relationship Id="rId18" Type="http://schemas.openxmlformats.org/officeDocument/2006/relationships/hyperlink" Target="https://www.sec.gov/edgar/browse/?CIK=789019&amp;owner=exclude" TargetMode="External"/><Relationship Id="rId19" Type="http://schemas.openxmlformats.org/officeDocument/2006/relationships/hyperlink" Target="https://home.treasury.gov/resource-center/data-chart-center/interest-rates/TextView?field_tdr_date_value=2026&amp;type=daily_treasury_yield_curve" TargetMode="External"/><Relationship Id="rId20" Type="http://schemas.openxmlformats.org/officeDocument/2006/relationships/hyperlink" Target="https://pages.stern.nyu.edu/adamodar/New_Home_Page/datacurrent.html" TargetMode="Externa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Investment Memo - Buffett-Inspired Business Quality and DCF Assessment</dc:title>
  <dc:subject>Microsoft DCF, reverse DCF, business quality, and margin-of-safety analysis</dc:subject>
  <dc:creator>Yagni Patel</dc:creator>
  <cp:keywords>Microsoft, DCF, reverse DCF, valuation, business quality, ROIC, investment memo</cp:keywords>
  <dc:description>Prepared by Yagni Patel. Educational portfolio analysis; not investment advice.</dc:description>
  <cp:lastModifiedBy>Yagni Patel</cp:lastModifiedBy>
  <cp:revision>1</cp:revision>
  <dcterms:created xsi:type="dcterms:W3CDTF">2013-12-23T23:15:00Z</dcterms:created>
  <dcterms:modified xsi:type="dcterms:W3CDTF">2026-08-11T02:40:03Z</dcterms:modified>
  <cp:category/>
</cp:coreProperties>
</file>