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E916" w14:textId="77777777" w:rsidR="00A97CBB" w:rsidRPr="00A97CBB" w:rsidRDefault="00A97CBB" w:rsidP="00A97CBB">
      <w:pPr>
        <w:pStyle w:val="Title"/>
        <w:jc w:val="center"/>
        <w:rPr>
          <w:rFonts w:ascii="Garamond" w:hAnsi="Garamond"/>
        </w:rPr>
      </w:pPr>
      <w:r w:rsidRPr="00A97CBB">
        <w:rPr>
          <w:rFonts w:ascii="Garamond" w:hAnsi="Garamond"/>
        </w:rPr>
        <w:t>Análisis de la regla de la discrecionalidad</w:t>
      </w:r>
    </w:p>
    <w:p w14:paraId="1167614B" w14:textId="3E70CBF5" w:rsidR="00A44A5A" w:rsidRDefault="00A97CBB" w:rsidP="00A97CBB">
      <w:pPr>
        <w:pStyle w:val="Title"/>
        <w:jc w:val="center"/>
        <w:rPr>
          <w:rFonts w:ascii="Garamond" w:hAnsi="Garamond"/>
        </w:rPr>
      </w:pPr>
      <w:r w:rsidRPr="00A97CBB">
        <w:rPr>
          <w:rFonts w:ascii="Garamond" w:hAnsi="Garamond"/>
        </w:rPr>
        <w:t>empresarial en España</w:t>
      </w:r>
    </w:p>
    <w:p w14:paraId="7572A3B6" w14:textId="4083B321" w:rsidR="00AF4C34" w:rsidRPr="00AF4C34" w:rsidRDefault="00AF4C34" w:rsidP="00AF4C34">
      <w:pPr>
        <w:pStyle w:val="Heading1"/>
        <w:rPr>
          <w:rFonts w:ascii="Garamond" w:hAnsi="Garamond"/>
          <w:color w:val="3B3838" w:themeColor="background2" w:themeShade="40"/>
          <w:sz w:val="16"/>
          <w:szCs w:val="16"/>
          <w:u w:val="single"/>
        </w:rPr>
      </w:pPr>
      <w:r w:rsidRPr="00AF4C34">
        <w:rPr>
          <w:rFonts w:ascii="Garamond" w:hAnsi="Garamond"/>
          <w:color w:val="3B3838" w:themeColor="background2" w:themeShade="40"/>
          <w:u w:val="single"/>
        </w:rPr>
        <w:t xml:space="preserve">Introducción </w:t>
      </w:r>
      <w:r>
        <w:rPr>
          <w:rFonts w:ascii="Garamond" w:hAnsi="Garamond"/>
          <w:color w:val="3B3838" w:themeColor="background2" w:themeShade="40"/>
          <w:u w:val="single"/>
        </w:rPr>
        <w:br/>
      </w:r>
    </w:p>
    <w:p w14:paraId="3E16D887" w14:textId="0E9C59B5" w:rsidR="00AF4C34" w:rsidRPr="00AF4C34" w:rsidRDefault="00AF4C34" w:rsidP="00AF4C34">
      <w:pPr>
        <w:rPr>
          <w:rFonts w:ascii="Garamond" w:hAnsi="Garamond"/>
        </w:rPr>
      </w:pPr>
      <w:r w:rsidRPr="00AF4C34">
        <w:rPr>
          <w:rFonts w:ascii="Garamond" w:hAnsi="Garamond"/>
        </w:rPr>
        <w:t>La regla de discrecionalidad empresarial, conocida en inglés como "Business Judgement Rule" (BJR), es un principio del derecho corporativo que ampara las decisiones tomadas por los administradores de una empresa, brindándoles un margen de seguridad jurídica al actuar en el ámbito de su competencia. Para que dichas decisiones estén protegidas bajo esta regla, es imprescindible que sean adoptadas de buena fe, sin conflictos de interés, basándose en una información adecuada y siguiendo un procedimiento que garantice la diligencia debida. A pesar de su propósito, la aplicación de la BJR ha sido históricamente errática</w:t>
      </w:r>
      <w:r>
        <w:rPr>
          <w:rFonts w:ascii="Garamond" w:hAnsi="Garamond"/>
        </w:rPr>
        <w:t xml:space="preserve">. Esto </w:t>
      </w:r>
      <w:r w:rsidRPr="00AF4C34">
        <w:rPr>
          <w:rFonts w:ascii="Garamond" w:hAnsi="Garamond"/>
        </w:rPr>
        <w:t>ha generado una percepción de enigmatismo en su interpretación jurídica, llegando a ser considerada una de las doctrinas más enigmáticas del derecho mercantil.</w:t>
      </w:r>
    </w:p>
    <w:p w14:paraId="2292E2CC" w14:textId="77777777" w:rsidR="00AF4C34" w:rsidRDefault="00AF4C34" w:rsidP="00AF4C34">
      <w:pPr>
        <w:rPr>
          <w:rFonts w:ascii="Garamond" w:hAnsi="Garamond"/>
        </w:rPr>
      </w:pPr>
    </w:p>
    <w:p w14:paraId="6D43C3D4" w14:textId="141B5BBA" w:rsidR="006E2311" w:rsidRDefault="00AF4C34" w:rsidP="006E2311">
      <w:pPr>
        <w:rPr>
          <w:rFonts w:ascii="Garamond" w:hAnsi="Garamond"/>
        </w:rPr>
      </w:pPr>
      <w:r w:rsidRPr="00AF4C34">
        <w:rPr>
          <w:rFonts w:ascii="Garamond" w:hAnsi="Garamond"/>
        </w:rPr>
        <w:t>La BJR se consolidó en el sistema legal de Estados Unidos, adquiriendo especial notoriedad en el caso de Aronson v. Lewis de 1984, juzgado por el Tribunal Supremo de Delaware. En este litigio emblemático, se desestimó la demanda de un accionista que acusaba a los directores de Meyers Parking System Inc. de dilapidar los activos de la empresa al conceder un contrato de trabajo excesivamente beneficioso al CEO y fundador, Mr. Fink. El tribunal aplicó la BJR para presumir que los directores, al tomar decisiones corporativas, lo hacían informados, de buena fe y convencidos de que sus acciones favorecían el interés óptimo de la compañía.</w:t>
      </w:r>
    </w:p>
    <w:p w14:paraId="405B92CB" w14:textId="687B5003" w:rsidR="006C6466" w:rsidRPr="006C6466" w:rsidRDefault="006C6466" w:rsidP="006C6466">
      <w:pPr>
        <w:pStyle w:val="Heading1"/>
        <w:rPr>
          <w:rFonts w:ascii="Garamond" w:hAnsi="Garamond"/>
          <w:color w:val="3B3838" w:themeColor="background2" w:themeShade="40"/>
          <w:u w:val="single"/>
        </w:rPr>
      </w:pPr>
      <w:r>
        <w:rPr>
          <w:rFonts w:ascii="Garamond" w:hAnsi="Garamond"/>
          <w:color w:val="3B3838" w:themeColor="background2" w:themeShade="40"/>
          <w:u w:val="single"/>
        </w:rPr>
        <w:t xml:space="preserve">Desarrollo Jurisprudencial en España: </w:t>
      </w:r>
      <w:r w:rsidRPr="00AF4C34">
        <w:rPr>
          <w:rFonts w:ascii="Garamond" w:hAnsi="Garamond"/>
          <w:color w:val="3B3838" w:themeColor="background2" w:themeShade="40"/>
          <w:u w:val="single"/>
        </w:rPr>
        <w:t xml:space="preserve"> </w:t>
      </w:r>
    </w:p>
    <w:p w14:paraId="4D6A9B7C" w14:textId="4850378B" w:rsidR="006C6466" w:rsidRPr="004A0EF0" w:rsidRDefault="006C6466" w:rsidP="006C6466">
      <w:pPr>
        <w:pStyle w:val="Heading2"/>
        <w:rPr>
          <w:rFonts w:ascii="Garamond" w:hAnsi="Garamond"/>
          <w:b/>
          <w:bCs/>
        </w:rPr>
      </w:pPr>
      <w:r w:rsidRPr="004A0EF0">
        <w:rPr>
          <w:rFonts w:ascii="Garamond" w:hAnsi="Garamond"/>
          <w:b/>
          <w:bCs/>
        </w:rPr>
        <w:t xml:space="preserve">Sentencia I  - </w:t>
      </w:r>
      <w:r w:rsidR="00804E09" w:rsidRPr="004A0EF0">
        <w:rPr>
          <w:rFonts w:ascii="Garamond" w:hAnsi="Garamond"/>
          <w:b/>
          <w:bCs/>
        </w:rPr>
        <w:t>6 de mayo de 1997 (EDJ 1997/2617)</w:t>
      </w:r>
    </w:p>
    <w:p w14:paraId="43E27BB4" w14:textId="202C6BC5" w:rsidR="00804E09" w:rsidRPr="00804E09" w:rsidRDefault="00804E09" w:rsidP="00804E09">
      <w:pPr>
        <w:rPr>
          <w:rFonts w:ascii="Garamond" w:hAnsi="Garamond"/>
        </w:rPr>
      </w:pPr>
      <w:r w:rsidRPr="00804E09">
        <w:rPr>
          <w:rFonts w:ascii="Garamond" w:hAnsi="Garamond"/>
        </w:rPr>
        <w:t>La denuncia se centró en la discriminación por ejercer el derecho de huelga, tras negarse a transformar el contrato de la trabajadora de tiempo parcial a completo. Los participantes fueron la trabajadora, representada por la Procuradora de los Tribunales Dª Isabel Cañedo Vega, y la empresa "Centros Comerciales P., S.A.".</w:t>
      </w:r>
    </w:p>
    <w:p w14:paraId="62B092DD" w14:textId="77777777" w:rsidR="00804E09" w:rsidRPr="00804E09" w:rsidRDefault="00804E09" w:rsidP="00804E09">
      <w:pPr>
        <w:rPr>
          <w:rFonts w:ascii="Garamond" w:hAnsi="Garamond"/>
        </w:rPr>
      </w:pPr>
    </w:p>
    <w:p w14:paraId="2AFF0666" w14:textId="14A52FEE" w:rsidR="00804E09" w:rsidRPr="00804E09" w:rsidRDefault="00804E09" w:rsidP="00804E09">
      <w:pPr>
        <w:rPr>
          <w:rFonts w:ascii="Garamond" w:hAnsi="Garamond"/>
        </w:rPr>
      </w:pPr>
      <w:r w:rsidRPr="00804E09">
        <w:rPr>
          <w:rFonts w:ascii="Garamond" w:hAnsi="Garamond"/>
        </w:rPr>
        <w:t>Esta petición fue denegada por la empresa tras la participación de la trabajadora en una huelga, lo que levantó sospechas de discriminación. El Tribunal Constitucional, aplicando la Business Judgment Rule, examinó si la decisión empresarial estuvo motivada por la participación en la huelga y, por lo tanto, fue discriminatoria. Se concluyó que la empresa no aportó justificaciones suficientes para negar la transformación del contrato, lo que indicaba una posible discriminación por ejercer el derecho de huelga. El fallo estimó el recurso de amparo de la trabajadora, reconociendo su derecho a no ser discriminada por ejercer su derecho de huelga y anulando la decisión empresarial como una vulneración de sus derechos fundamentales.</w:t>
      </w:r>
    </w:p>
    <w:p w14:paraId="217A4B4C" w14:textId="77777777" w:rsidR="006C6466" w:rsidRDefault="006C6466" w:rsidP="006C6466"/>
    <w:p w14:paraId="12E27F03" w14:textId="632F21C8" w:rsidR="006C6466" w:rsidRPr="004A0EF0" w:rsidRDefault="006C6466" w:rsidP="006C6466">
      <w:pPr>
        <w:pStyle w:val="Heading2"/>
        <w:rPr>
          <w:rFonts w:ascii="Garamond" w:hAnsi="Garamond"/>
          <w:b/>
          <w:bCs/>
        </w:rPr>
      </w:pPr>
      <w:r w:rsidRPr="004A0EF0">
        <w:rPr>
          <w:rFonts w:ascii="Garamond" w:hAnsi="Garamond"/>
          <w:b/>
          <w:bCs/>
        </w:rPr>
        <w:t xml:space="preserve">Sentencia II  - </w:t>
      </w:r>
      <w:r w:rsidR="00804E09" w:rsidRPr="004A0EF0">
        <w:rPr>
          <w:rFonts w:ascii="Garamond" w:hAnsi="Garamond"/>
          <w:b/>
          <w:bCs/>
        </w:rPr>
        <w:t>11 de Febrero de 2002 (EDJ 2002/3375)</w:t>
      </w:r>
    </w:p>
    <w:p w14:paraId="44F6642B" w14:textId="77777777" w:rsidR="00804E09" w:rsidRPr="00804E09" w:rsidRDefault="00804E09" w:rsidP="00804E09">
      <w:pPr>
        <w:rPr>
          <w:rFonts w:ascii="Garamond" w:hAnsi="Garamond"/>
        </w:rPr>
      </w:pPr>
      <w:r w:rsidRPr="00804E09">
        <w:rPr>
          <w:rFonts w:ascii="Garamond" w:hAnsi="Garamond"/>
        </w:rPr>
        <w:t>El caso analizado trata sobre una demanda de amparo al Tribunal Constitucional por Dª Remedios, quien alegó discriminación por actividad sindical al no ser contratada indefinidamente tras finalizar su contrato en prácticas, a diferencia de otros trabajadores con situaciones similares o de menor antigüedad en "Agencia E., S.A.". La demandante había ejercido su libertad sindical, lo que implicó conflictos con superiores y contribuyó a su no contratación.</w:t>
      </w:r>
    </w:p>
    <w:p w14:paraId="3B6DA169" w14:textId="77777777" w:rsidR="00804E09" w:rsidRPr="00804E09" w:rsidRDefault="00804E09" w:rsidP="00804E09">
      <w:pPr>
        <w:rPr>
          <w:rFonts w:ascii="Garamond" w:hAnsi="Garamond"/>
        </w:rPr>
      </w:pPr>
    </w:p>
    <w:p w14:paraId="2185524D" w14:textId="181139E6" w:rsidR="00804E09" w:rsidRPr="00804E09" w:rsidRDefault="00804E09" w:rsidP="00804E09">
      <w:pPr>
        <w:rPr>
          <w:rFonts w:ascii="Garamond" w:hAnsi="Garamond"/>
        </w:rPr>
      </w:pPr>
      <w:r w:rsidRPr="00804E09">
        <w:rPr>
          <w:rFonts w:ascii="Garamond" w:hAnsi="Garamond"/>
        </w:rPr>
        <w:t xml:space="preserve">La aplicación de la </w:t>
      </w:r>
      <w:r w:rsidR="004A0EF0">
        <w:rPr>
          <w:rFonts w:ascii="Garamond" w:hAnsi="Garamond"/>
        </w:rPr>
        <w:t>BJR</w:t>
      </w:r>
      <w:r w:rsidRPr="00804E09">
        <w:rPr>
          <w:rFonts w:ascii="Garamond" w:hAnsi="Garamond"/>
        </w:rPr>
        <w:t xml:space="preserve"> no es directamente mencionada en el resumen del caso. Sin embargo, el Tribunal Constitucional estimó el amparo, reconociendo la vulneración del derecho fundamental </w:t>
      </w:r>
      <w:r w:rsidRPr="00804E09">
        <w:rPr>
          <w:rFonts w:ascii="Garamond" w:hAnsi="Garamond"/>
        </w:rPr>
        <w:lastRenderedPageBreak/>
        <w:t>a no ser discriminada por ejercer su libertad sindical. Esto implicó la anulación de la sentencia previa del Tribunal Superior de Justicia de Madrid que había rechazado la discriminación sindical como causa del no recontrato. Se destacó que la empresa no proporcionó justificación objetiva y razonable que desvinculara la decisión de no contratación de la actividad sindical de la trabajadora, lo que subraya la importancia de fundamentar adecuadamente las decisiones empresariales para que no sean percibidas como discriminatorias o lesivas a los derechos de los trabajadores.</w:t>
      </w:r>
    </w:p>
    <w:p w14:paraId="0F1D0AD3" w14:textId="7E3E904A" w:rsidR="006C6466" w:rsidRDefault="006C6466" w:rsidP="006C6466">
      <w:pPr>
        <w:pStyle w:val="Heading1"/>
        <w:rPr>
          <w:rFonts w:ascii="Garamond" w:hAnsi="Garamond"/>
          <w:color w:val="3B3838" w:themeColor="background2" w:themeShade="40"/>
          <w:u w:val="single"/>
        </w:rPr>
      </w:pPr>
      <w:r>
        <w:rPr>
          <w:rFonts w:ascii="Garamond" w:hAnsi="Garamond"/>
          <w:color w:val="3B3838" w:themeColor="background2" w:themeShade="40"/>
          <w:u w:val="single"/>
        </w:rPr>
        <w:t>Conclusión</w:t>
      </w:r>
      <w:r w:rsidRPr="006C6466">
        <w:rPr>
          <w:rFonts w:ascii="Garamond" w:hAnsi="Garamond"/>
          <w:color w:val="3B3838" w:themeColor="background2" w:themeShade="40"/>
          <w:u w:val="single"/>
        </w:rPr>
        <w:t xml:space="preserve">:  </w:t>
      </w:r>
    </w:p>
    <w:p w14:paraId="60EF8110" w14:textId="7A8CCBD5" w:rsidR="004A0EF0" w:rsidRPr="004A0EF0" w:rsidRDefault="004A0EF0" w:rsidP="004A0EF0">
      <w:pPr>
        <w:rPr>
          <w:rFonts w:ascii="Garamond" w:hAnsi="Garamond"/>
        </w:rPr>
      </w:pPr>
      <w:r w:rsidRPr="004A0EF0">
        <w:rPr>
          <w:rFonts w:ascii="Garamond" w:hAnsi="Garamond"/>
        </w:rPr>
        <w:t>En este estudio hemos explorado la integración de un marco legal en el sistema jurídico nacional que protege los intereses de los accionistas y otorga a los administradores un espacio de maniobra para decisiones estratégicas. Hemos analizado cómo esta normativa se ha puesto en práctica a través de decisiones judiciales y legislación, evidenciando la adaptabilidad y eficiencia de nuestro marco legal.</w:t>
      </w:r>
    </w:p>
    <w:p w14:paraId="6AED82AE" w14:textId="77777777" w:rsidR="006E2311" w:rsidRDefault="006E2311" w:rsidP="006E2311">
      <w:pPr>
        <w:rPr>
          <w:rFonts w:ascii="Garamond" w:hAnsi="Garamond"/>
        </w:rPr>
      </w:pPr>
    </w:p>
    <w:p w14:paraId="057C6438" w14:textId="4FF42D91" w:rsidR="006E2311" w:rsidRDefault="006E2311" w:rsidP="006E2311">
      <w:pPr>
        <w:pStyle w:val="Heading2"/>
        <w:rPr>
          <w:rFonts w:ascii="Garamond" w:hAnsi="Garamond"/>
          <w:i/>
          <w:iCs/>
          <w:u w:val="single"/>
        </w:rPr>
      </w:pPr>
      <w:r w:rsidRPr="006E2311">
        <w:rPr>
          <w:rFonts w:ascii="Garamond" w:hAnsi="Garamond"/>
          <w:i/>
          <w:iCs/>
          <w:color w:val="000000" w:themeColor="text1"/>
          <w:u w:val="single"/>
        </w:rPr>
        <w:t>Bibliografía</w:t>
      </w:r>
      <w:r w:rsidRPr="006E2311">
        <w:rPr>
          <w:rFonts w:ascii="Garamond" w:hAnsi="Garamond"/>
          <w:i/>
          <w:iCs/>
          <w:u w:val="single"/>
        </w:rPr>
        <w:t xml:space="preserve"> </w:t>
      </w:r>
    </w:p>
    <w:p w14:paraId="7938D40F" w14:textId="5BEE06C9" w:rsidR="004A0EF0" w:rsidRPr="004A0EF0" w:rsidRDefault="004A0EF0" w:rsidP="004A0EF0">
      <w:pPr>
        <w:pStyle w:val="ListParagraph"/>
        <w:numPr>
          <w:ilvl w:val="0"/>
          <w:numId w:val="4"/>
        </w:numPr>
        <w:ind w:left="709" w:hanging="349"/>
        <w:rPr>
          <w:rFonts w:ascii="Garamond" w:hAnsi="Garamond"/>
        </w:rPr>
      </w:pPr>
      <w:r w:rsidRPr="004A0EF0">
        <w:rPr>
          <w:rFonts w:ascii="Garamond" w:hAnsi="Garamond"/>
          <w:b/>
          <w:bCs/>
        </w:rPr>
        <w:t>Romero Consultores</w:t>
      </w:r>
      <w:r w:rsidRPr="004A0EF0">
        <w:rPr>
          <w:rFonts w:ascii="Garamond" w:hAnsi="Garamond"/>
        </w:rPr>
        <w:t xml:space="preserve">. "Discrecionalidad Empresarial (Business Judgment Rule)." M Romero Consultores. [Online]. </w:t>
      </w:r>
      <w:r>
        <w:rPr>
          <w:rFonts w:ascii="Garamond" w:hAnsi="Garamond"/>
        </w:rPr>
        <w:t>Disponible en</w:t>
      </w:r>
      <w:r w:rsidRPr="004A0EF0">
        <w:rPr>
          <w:rFonts w:ascii="Garamond" w:hAnsi="Garamond"/>
        </w:rPr>
        <w:t>:</w:t>
      </w:r>
      <w:r>
        <w:rPr>
          <w:rFonts w:ascii="Garamond" w:hAnsi="Garamond"/>
        </w:rPr>
        <w:t xml:space="preserve"> </w:t>
      </w:r>
      <w:hyperlink r:id="rId7" w:history="1">
        <w:r w:rsidRPr="00C94714">
          <w:rPr>
            <w:rStyle w:val="Hyperlink"/>
            <w:rFonts w:ascii="Garamond" w:hAnsi="Garamond"/>
          </w:rPr>
          <w:t>https://mromeroconsultores.es/blog/discrecionalidad-empresarial-business-judgment-rule/</w:t>
        </w:r>
      </w:hyperlink>
      <w:r>
        <w:rPr>
          <w:rFonts w:ascii="Garamond" w:hAnsi="Garamond"/>
        </w:rPr>
        <w:t xml:space="preserve"> </w:t>
      </w:r>
    </w:p>
    <w:p w14:paraId="142C44EE" w14:textId="6D860527" w:rsidR="004A0EF0" w:rsidRPr="004A0EF0" w:rsidRDefault="004A0EF0" w:rsidP="004A0EF0">
      <w:pPr>
        <w:pStyle w:val="ListParagraph"/>
        <w:numPr>
          <w:ilvl w:val="0"/>
          <w:numId w:val="4"/>
        </w:numPr>
        <w:rPr>
          <w:rFonts w:ascii="Garamond" w:hAnsi="Garamond"/>
        </w:rPr>
      </w:pPr>
      <w:r w:rsidRPr="004A0EF0">
        <w:rPr>
          <w:rFonts w:ascii="Garamond" w:hAnsi="Garamond"/>
          <w:b/>
          <w:bCs/>
        </w:rPr>
        <w:t>Osborne Clarke</w:t>
      </w:r>
      <w:r w:rsidRPr="004A0EF0">
        <w:rPr>
          <w:rFonts w:ascii="Garamond" w:hAnsi="Garamond"/>
        </w:rPr>
        <w:t>. "La 'business judgement rule' como mecanismo de limitaci</w:t>
      </w:r>
      <w:r>
        <w:rPr>
          <w:rFonts w:ascii="Garamond" w:hAnsi="Garamond"/>
        </w:rPr>
        <w:t>ó</w:t>
      </w:r>
      <w:r w:rsidRPr="004A0EF0">
        <w:rPr>
          <w:rFonts w:ascii="Garamond" w:hAnsi="Garamond"/>
        </w:rPr>
        <w:t xml:space="preserve">n de la responsabilidad de los administradores en la toma de decisiones." [Online]. </w:t>
      </w:r>
      <w:r>
        <w:rPr>
          <w:rFonts w:ascii="Garamond" w:hAnsi="Garamond"/>
        </w:rPr>
        <w:t>Disponible en</w:t>
      </w:r>
      <w:r w:rsidRPr="004A0EF0">
        <w:rPr>
          <w:rFonts w:ascii="Garamond" w:hAnsi="Garamond"/>
        </w:rPr>
        <w:t xml:space="preserve">: </w:t>
      </w:r>
      <w:hyperlink r:id="rId8" w:history="1">
        <w:r w:rsidRPr="00C94714">
          <w:rPr>
            <w:rStyle w:val="Hyperlink"/>
            <w:rFonts w:ascii="Garamond" w:hAnsi="Garamond"/>
          </w:rPr>
          <w:t>https://www.osborneclarke.com/es/insights/la-business-judgement-rule-como-mecanismo-de-limitacion-de-la-responsabilidad-de-los-administradores-en-la-toma-de-decisiones</w:t>
        </w:r>
      </w:hyperlink>
      <w:r>
        <w:rPr>
          <w:rFonts w:ascii="Garamond" w:hAnsi="Garamond"/>
        </w:rPr>
        <w:t xml:space="preserve"> </w:t>
      </w:r>
    </w:p>
    <w:p w14:paraId="015D0D25" w14:textId="0FB2A3D3" w:rsidR="004A0EF0" w:rsidRPr="004A0EF0" w:rsidRDefault="004A0EF0" w:rsidP="004A0EF0">
      <w:pPr>
        <w:pStyle w:val="ListParagraph"/>
        <w:numPr>
          <w:ilvl w:val="0"/>
          <w:numId w:val="4"/>
        </w:numPr>
        <w:rPr>
          <w:rFonts w:ascii="Garamond" w:hAnsi="Garamond"/>
        </w:rPr>
      </w:pPr>
      <w:r w:rsidRPr="004A0EF0">
        <w:rPr>
          <w:rFonts w:ascii="Garamond" w:hAnsi="Garamond"/>
          <w:b/>
          <w:bCs/>
        </w:rPr>
        <w:t>YouTube</w:t>
      </w:r>
      <w:r w:rsidRPr="004A0EF0">
        <w:rPr>
          <w:rFonts w:ascii="Garamond" w:hAnsi="Garamond"/>
        </w:rPr>
        <w:t xml:space="preserve">. "The Business Judgement Rule." [Online]. </w:t>
      </w:r>
      <w:r>
        <w:rPr>
          <w:rFonts w:ascii="Garamond" w:hAnsi="Garamond"/>
        </w:rPr>
        <w:t>Disponible en</w:t>
      </w:r>
      <w:r w:rsidRPr="004A0EF0">
        <w:rPr>
          <w:rFonts w:ascii="Garamond" w:hAnsi="Garamond"/>
        </w:rPr>
        <w:t xml:space="preserve">: </w:t>
      </w:r>
      <w:hyperlink r:id="rId9" w:history="1">
        <w:r w:rsidRPr="00C94714">
          <w:rPr>
            <w:rStyle w:val="Hyperlink"/>
            <w:rFonts w:ascii="Garamond" w:hAnsi="Garamond"/>
          </w:rPr>
          <w:t>https://www.youtube.com/watch?v=25MC7hIZcos</w:t>
        </w:r>
      </w:hyperlink>
      <w:r>
        <w:rPr>
          <w:rFonts w:ascii="Garamond" w:hAnsi="Garamond"/>
        </w:rPr>
        <w:t xml:space="preserve"> </w:t>
      </w:r>
    </w:p>
    <w:p w14:paraId="69CDFE22" w14:textId="3B3E0485" w:rsidR="004A0EF0" w:rsidRPr="004A0EF0" w:rsidRDefault="004A0EF0" w:rsidP="004A0EF0">
      <w:pPr>
        <w:pStyle w:val="ListParagraph"/>
        <w:numPr>
          <w:ilvl w:val="0"/>
          <w:numId w:val="4"/>
        </w:numPr>
        <w:rPr>
          <w:rFonts w:ascii="Garamond" w:hAnsi="Garamond"/>
        </w:rPr>
      </w:pPr>
      <w:r w:rsidRPr="004A0EF0">
        <w:rPr>
          <w:rFonts w:ascii="Garamond" w:hAnsi="Garamond"/>
          <w:b/>
          <w:bCs/>
        </w:rPr>
        <w:t>Vlex</w:t>
      </w:r>
      <w:r w:rsidRPr="004A0EF0">
        <w:rPr>
          <w:rFonts w:ascii="Garamond" w:hAnsi="Garamond"/>
        </w:rPr>
        <w:t>. "Extinci</w:t>
      </w:r>
      <w:r>
        <w:rPr>
          <w:rFonts w:ascii="Garamond" w:hAnsi="Garamond"/>
        </w:rPr>
        <w:t>ó</w:t>
      </w:r>
      <w:r w:rsidRPr="004A0EF0">
        <w:rPr>
          <w:rFonts w:ascii="Garamond" w:hAnsi="Garamond"/>
        </w:rPr>
        <w:t>n del reclamo por prescripci</w:t>
      </w:r>
      <w:r>
        <w:rPr>
          <w:rFonts w:ascii="Garamond" w:hAnsi="Garamond"/>
        </w:rPr>
        <w:t>ó</w:t>
      </w:r>
      <w:r w:rsidRPr="004A0EF0">
        <w:rPr>
          <w:rFonts w:ascii="Garamond" w:hAnsi="Garamond"/>
        </w:rPr>
        <w:t xml:space="preserve">n (MA 1969, 59)." [Online]. </w:t>
      </w:r>
      <w:r>
        <w:rPr>
          <w:rFonts w:ascii="Garamond" w:hAnsi="Garamond"/>
        </w:rPr>
        <w:t>Disponible en</w:t>
      </w:r>
      <w:r w:rsidRPr="004A0EF0">
        <w:rPr>
          <w:rFonts w:ascii="Garamond" w:hAnsi="Garamond"/>
        </w:rPr>
        <w:t xml:space="preserve">: </w:t>
      </w:r>
      <w:hyperlink r:id="rId10" w:history="1">
        <w:r w:rsidRPr="00C94714">
          <w:rPr>
            <w:rStyle w:val="Hyperlink"/>
            <w:rFonts w:ascii="Garamond" w:hAnsi="Garamond"/>
          </w:rPr>
          <w:t>https://vlex.es/vid/extincion-reclamo-prescripcion-ma-1969-59-15068822</w:t>
        </w:r>
      </w:hyperlink>
      <w:r>
        <w:rPr>
          <w:rFonts w:ascii="Garamond" w:hAnsi="Garamond"/>
        </w:rPr>
        <w:t xml:space="preserve"> </w:t>
      </w:r>
    </w:p>
    <w:p w14:paraId="1E9B5950" w14:textId="588687BC" w:rsidR="004A0EF0" w:rsidRPr="004A0EF0" w:rsidRDefault="004A0EF0" w:rsidP="004A0EF0">
      <w:pPr>
        <w:pStyle w:val="ListParagraph"/>
        <w:numPr>
          <w:ilvl w:val="0"/>
          <w:numId w:val="4"/>
        </w:numPr>
        <w:rPr>
          <w:rFonts w:ascii="Garamond" w:hAnsi="Garamond"/>
        </w:rPr>
      </w:pPr>
      <w:r w:rsidRPr="004A0EF0">
        <w:rPr>
          <w:rFonts w:ascii="Garamond" w:hAnsi="Garamond"/>
          <w:b/>
          <w:bCs/>
        </w:rPr>
        <w:t>Grafiati</w:t>
      </w:r>
      <w:r w:rsidRPr="004A0EF0">
        <w:rPr>
          <w:rFonts w:ascii="Garamond" w:hAnsi="Garamond"/>
        </w:rPr>
        <w:t xml:space="preserve">. "Bibliographies: 'Emissions'." [Online]. </w:t>
      </w:r>
      <w:r>
        <w:rPr>
          <w:rFonts w:ascii="Garamond" w:hAnsi="Garamond"/>
        </w:rPr>
        <w:t>Disponible en</w:t>
      </w:r>
      <w:r w:rsidRPr="004A0EF0">
        <w:rPr>
          <w:rFonts w:ascii="Garamond" w:hAnsi="Garamond"/>
        </w:rPr>
        <w:t xml:space="preserve">: </w:t>
      </w:r>
      <w:hyperlink r:id="rId11" w:history="1">
        <w:r w:rsidRPr="00C94714">
          <w:rPr>
            <w:rStyle w:val="Hyperlink"/>
            <w:rFonts w:ascii="Garamond" w:hAnsi="Garamond"/>
          </w:rPr>
          <w:t>https://www.grafiati.com/en/literature-selections/emissions/</w:t>
        </w:r>
      </w:hyperlink>
      <w:r>
        <w:rPr>
          <w:rFonts w:ascii="Garamond" w:hAnsi="Garamond"/>
        </w:rPr>
        <w:t xml:space="preserve"> </w:t>
      </w:r>
    </w:p>
    <w:p w14:paraId="77697A9A" w14:textId="77777777" w:rsidR="00A97CBB" w:rsidRDefault="00A97CBB" w:rsidP="00A97CBB"/>
    <w:p w14:paraId="789E3642" w14:textId="77777777" w:rsidR="00A97CBB" w:rsidRPr="00A97CBB" w:rsidRDefault="00A97CBB" w:rsidP="00A97CBB"/>
    <w:sectPr w:rsidR="00A97CBB" w:rsidRPr="00A97CB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AFD16" w14:textId="77777777" w:rsidR="00723572" w:rsidRDefault="00723572" w:rsidP="00A97CBB">
      <w:r>
        <w:separator/>
      </w:r>
    </w:p>
  </w:endnote>
  <w:endnote w:type="continuationSeparator" w:id="0">
    <w:p w14:paraId="559E55B1" w14:textId="77777777" w:rsidR="00723572" w:rsidRDefault="00723572" w:rsidP="00A9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03E67" w14:textId="77777777" w:rsidR="00723572" w:rsidRDefault="00723572" w:rsidP="00A97CBB">
      <w:r>
        <w:separator/>
      </w:r>
    </w:p>
  </w:footnote>
  <w:footnote w:type="continuationSeparator" w:id="0">
    <w:p w14:paraId="6F2BF704" w14:textId="77777777" w:rsidR="00723572" w:rsidRDefault="00723572" w:rsidP="00A9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4A8A" w14:textId="0D3795A1" w:rsidR="00A97CBB" w:rsidRPr="00A97CBB" w:rsidRDefault="00A97CBB">
    <w:pPr>
      <w:pStyle w:val="Header"/>
      <w:rPr>
        <w:rFonts w:ascii="Garamond" w:hAnsi="Garamond"/>
        <w:lang w:val="es-ES"/>
      </w:rPr>
    </w:pPr>
    <w:r w:rsidRPr="00A97CBB">
      <w:rPr>
        <w:rFonts w:ascii="Garamond" w:hAnsi="Garamond"/>
        <w:lang w:val="es-ES"/>
      </w:rPr>
      <w:t xml:space="preserve">Yago Tobio Souto </w:t>
    </w:r>
    <w:r w:rsidRPr="00A97CBB">
      <w:rPr>
        <w:rFonts w:ascii="Garamond" w:hAnsi="Garamond"/>
        <w:lang w:val="es-ES"/>
      </w:rPr>
      <w:tab/>
    </w:r>
    <w:r w:rsidRPr="00A97CBB">
      <w:rPr>
        <w:rFonts w:ascii="Garamond" w:hAnsi="Garamond"/>
        <w:lang w:val="es-ES"/>
      </w:rPr>
      <w:tab/>
      <w:t>201802168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1F4D"/>
    <w:multiLevelType w:val="hybridMultilevel"/>
    <w:tmpl w:val="D74AF468"/>
    <w:lvl w:ilvl="0" w:tplc="8F58C9E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8859E2"/>
    <w:multiLevelType w:val="hybridMultilevel"/>
    <w:tmpl w:val="7820E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C335E9"/>
    <w:multiLevelType w:val="hybridMultilevel"/>
    <w:tmpl w:val="F8C68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80325F"/>
    <w:multiLevelType w:val="hybridMultilevel"/>
    <w:tmpl w:val="E41EFD64"/>
    <w:lvl w:ilvl="0" w:tplc="96860DF6">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520718">
    <w:abstractNumId w:val="2"/>
  </w:num>
  <w:num w:numId="2" w16cid:durableId="2116048569">
    <w:abstractNumId w:val="0"/>
  </w:num>
  <w:num w:numId="3" w16cid:durableId="344790185">
    <w:abstractNumId w:val="3"/>
  </w:num>
  <w:num w:numId="4" w16cid:durableId="232741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BB"/>
    <w:rsid w:val="00253964"/>
    <w:rsid w:val="002C2046"/>
    <w:rsid w:val="003473BF"/>
    <w:rsid w:val="003E73B7"/>
    <w:rsid w:val="004A0EF0"/>
    <w:rsid w:val="006C6466"/>
    <w:rsid w:val="006E2311"/>
    <w:rsid w:val="00723572"/>
    <w:rsid w:val="00804E09"/>
    <w:rsid w:val="00A44A5A"/>
    <w:rsid w:val="00A97CBB"/>
    <w:rsid w:val="00AF4C3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CE09D12"/>
  <w15:chartTrackingRefBased/>
  <w15:docId w15:val="{2E1D399F-F0F3-E446-9588-F718E1F3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C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3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C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CB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97CBB"/>
    <w:pPr>
      <w:tabs>
        <w:tab w:val="center" w:pos="4513"/>
        <w:tab w:val="right" w:pos="9026"/>
      </w:tabs>
    </w:pPr>
  </w:style>
  <w:style w:type="character" w:customStyle="1" w:styleId="HeaderChar">
    <w:name w:val="Header Char"/>
    <w:basedOn w:val="DefaultParagraphFont"/>
    <w:link w:val="Header"/>
    <w:uiPriority w:val="99"/>
    <w:rsid w:val="00A97CBB"/>
  </w:style>
  <w:style w:type="paragraph" w:styleId="Footer">
    <w:name w:val="footer"/>
    <w:basedOn w:val="Normal"/>
    <w:link w:val="FooterChar"/>
    <w:uiPriority w:val="99"/>
    <w:unhideWhenUsed/>
    <w:rsid w:val="00A97CBB"/>
    <w:pPr>
      <w:tabs>
        <w:tab w:val="center" w:pos="4513"/>
        <w:tab w:val="right" w:pos="9026"/>
      </w:tabs>
    </w:pPr>
  </w:style>
  <w:style w:type="character" w:customStyle="1" w:styleId="FooterChar">
    <w:name w:val="Footer Char"/>
    <w:basedOn w:val="DefaultParagraphFont"/>
    <w:link w:val="Footer"/>
    <w:uiPriority w:val="99"/>
    <w:rsid w:val="00A97CBB"/>
  </w:style>
  <w:style w:type="paragraph" w:styleId="ListParagraph">
    <w:name w:val="List Paragraph"/>
    <w:basedOn w:val="Normal"/>
    <w:uiPriority w:val="34"/>
    <w:qFormat/>
    <w:rsid w:val="00A97CBB"/>
    <w:pPr>
      <w:ind w:left="720"/>
      <w:contextualSpacing/>
    </w:pPr>
  </w:style>
  <w:style w:type="character" w:customStyle="1" w:styleId="Heading2Char">
    <w:name w:val="Heading 2 Char"/>
    <w:basedOn w:val="DefaultParagraphFont"/>
    <w:link w:val="Heading2"/>
    <w:uiPriority w:val="9"/>
    <w:rsid w:val="006E23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E2311"/>
    <w:rPr>
      <w:color w:val="0563C1" w:themeColor="hyperlink"/>
      <w:u w:val="single"/>
    </w:rPr>
  </w:style>
  <w:style w:type="character" w:styleId="UnresolvedMention">
    <w:name w:val="Unresolved Mention"/>
    <w:basedOn w:val="DefaultParagraphFont"/>
    <w:uiPriority w:val="99"/>
    <w:semiHidden/>
    <w:unhideWhenUsed/>
    <w:rsid w:val="006E2311"/>
    <w:rPr>
      <w:color w:val="605E5C"/>
      <w:shd w:val="clear" w:color="auto" w:fill="E1DFDD"/>
    </w:rPr>
  </w:style>
  <w:style w:type="character" w:customStyle="1" w:styleId="Heading1Char">
    <w:name w:val="Heading 1 Char"/>
    <w:basedOn w:val="DefaultParagraphFont"/>
    <w:link w:val="Heading1"/>
    <w:uiPriority w:val="9"/>
    <w:rsid w:val="00AF4C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92633">
      <w:bodyDiv w:val="1"/>
      <w:marLeft w:val="0"/>
      <w:marRight w:val="0"/>
      <w:marTop w:val="0"/>
      <w:marBottom w:val="0"/>
      <w:divBdr>
        <w:top w:val="none" w:sz="0" w:space="0" w:color="auto"/>
        <w:left w:val="none" w:sz="0" w:space="0" w:color="auto"/>
        <w:bottom w:val="none" w:sz="0" w:space="0" w:color="auto"/>
        <w:right w:val="none" w:sz="0" w:space="0" w:color="auto"/>
      </w:divBdr>
      <w:divsChild>
        <w:div w:id="497355600">
          <w:marLeft w:val="0"/>
          <w:marRight w:val="0"/>
          <w:marTop w:val="0"/>
          <w:marBottom w:val="0"/>
          <w:divBdr>
            <w:top w:val="single" w:sz="2" w:space="0" w:color="E3E3E3"/>
            <w:left w:val="single" w:sz="2" w:space="0" w:color="E3E3E3"/>
            <w:bottom w:val="single" w:sz="2" w:space="0" w:color="E3E3E3"/>
            <w:right w:val="single" w:sz="2" w:space="0" w:color="E3E3E3"/>
          </w:divBdr>
          <w:divsChild>
            <w:div w:id="3253979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223575">
                  <w:marLeft w:val="0"/>
                  <w:marRight w:val="0"/>
                  <w:marTop w:val="0"/>
                  <w:marBottom w:val="0"/>
                  <w:divBdr>
                    <w:top w:val="single" w:sz="2" w:space="0" w:color="E3E3E3"/>
                    <w:left w:val="single" w:sz="2" w:space="0" w:color="E3E3E3"/>
                    <w:bottom w:val="single" w:sz="2" w:space="0" w:color="E3E3E3"/>
                    <w:right w:val="single" w:sz="2" w:space="0" w:color="E3E3E3"/>
                  </w:divBdr>
                  <w:divsChild>
                    <w:div w:id="1524509955">
                      <w:marLeft w:val="0"/>
                      <w:marRight w:val="0"/>
                      <w:marTop w:val="0"/>
                      <w:marBottom w:val="0"/>
                      <w:divBdr>
                        <w:top w:val="single" w:sz="2" w:space="0" w:color="E3E3E3"/>
                        <w:left w:val="single" w:sz="2" w:space="0" w:color="E3E3E3"/>
                        <w:bottom w:val="single" w:sz="2" w:space="0" w:color="E3E3E3"/>
                        <w:right w:val="single" w:sz="2" w:space="0" w:color="E3E3E3"/>
                      </w:divBdr>
                      <w:divsChild>
                        <w:div w:id="860706124">
                          <w:marLeft w:val="0"/>
                          <w:marRight w:val="0"/>
                          <w:marTop w:val="0"/>
                          <w:marBottom w:val="0"/>
                          <w:divBdr>
                            <w:top w:val="single" w:sz="2" w:space="0" w:color="E3E3E3"/>
                            <w:left w:val="single" w:sz="2" w:space="0" w:color="E3E3E3"/>
                            <w:bottom w:val="single" w:sz="2" w:space="0" w:color="E3E3E3"/>
                            <w:right w:val="single" w:sz="2" w:space="0" w:color="E3E3E3"/>
                          </w:divBdr>
                          <w:divsChild>
                            <w:div w:id="364839907">
                              <w:marLeft w:val="0"/>
                              <w:marRight w:val="0"/>
                              <w:marTop w:val="0"/>
                              <w:marBottom w:val="0"/>
                              <w:divBdr>
                                <w:top w:val="single" w:sz="2" w:space="0" w:color="E3E3E3"/>
                                <w:left w:val="single" w:sz="2" w:space="0" w:color="E3E3E3"/>
                                <w:bottom w:val="single" w:sz="2" w:space="0" w:color="E3E3E3"/>
                                <w:right w:val="single" w:sz="2" w:space="0" w:color="E3E3E3"/>
                              </w:divBdr>
                              <w:divsChild>
                                <w:div w:id="1705521836">
                                  <w:marLeft w:val="0"/>
                                  <w:marRight w:val="0"/>
                                  <w:marTop w:val="0"/>
                                  <w:marBottom w:val="0"/>
                                  <w:divBdr>
                                    <w:top w:val="single" w:sz="2" w:space="0" w:color="E3E3E3"/>
                                    <w:left w:val="single" w:sz="2" w:space="0" w:color="E3E3E3"/>
                                    <w:bottom w:val="single" w:sz="2" w:space="0" w:color="E3E3E3"/>
                                    <w:right w:val="single" w:sz="2" w:space="0" w:color="E3E3E3"/>
                                  </w:divBdr>
                                  <w:divsChild>
                                    <w:div w:id="142627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597451">
          <w:marLeft w:val="0"/>
          <w:marRight w:val="0"/>
          <w:marTop w:val="0"/>
          <w:marBottom w:val="0"/>
          <w:divBdr>
            <w:top w:val="single" w:sz="2" w:space="0" w:color="E3E3E3"/>
            <w:left w:val="single" w:sz="2" w:space="0" w:color="E3E3E3"/>
            <w:bottom w:val="single" w:sz="2" w:space="0" w:color="E3E3E3"/>
            <w:right w:val="single" w:sz="2" w:space="0" w:color="E3E3E3"/>
          </w:divBdr>
          <w:divsChild>
            <w:div w:id="2078549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0867848">
                  <w:marLeft w:val="0"/>
                  <w:marRight w:val="0"/>
                  <w:marTop w:val="0"/>
                  <w:marBottom w:val="0"/>
                  <w:divBdr>
                    <w:top w:val="single" w:sz="2" w:space="0" w:color="E3E3E3"/>
                    <w:left w:val="single" w:sz="2" w:space="0" w:color="E3E3E3"/>
                    <w:bottom w:val="single" w:sz="2" w:space="0" w:color="E3E3E3"/>
                    <w:right w:val="single" w:sz="2" w:space="0" w:color="E3E3E3"/>
                  </w:divBdr>
                  <w:divsChild>
                    <w:div w:id="1907568558">
                      <w:marLeft w:val="0"/>
                      <w:marRight w:val="0"/>
                      <w:marTop w:val="0"/>
                      <w:marBottom w:val="0"/>
                      <w:divBdr>
                        <w:top w:val="single" w:sz="2" w:space="0" w:color="E3E3E3"/>
                        <w:left w:val="single" w:sz="2" w:space="0" w:color="E3E3E3"/>
                        <w:bottom w:val="single" w:sz="2" w:space="0" w:color="E3E3E3"/>
                        <w:right w:val="single" w:sz="2" w:space="0" w:color="E3E3E3"/>
                      </w:divBdr>
                      <w:divsChild>
                        <w:div w:id="290747460">
                          <w:marLeft w:val="0"/>
                          <w:marRight w:val="0"/>
                          <w:marTop w:val="0"/>
                          <w:marBottom w:val="0"/>
                          <w:divBdr>
                            <w:top w:val="single" w:sz="2" w:space="0" w:color="E3E3E3"/>
                            <w:left w:val="single" w:sz="2" w:space="0" w:color="E3E3E3"/>
                            <w:bottom w:val="single" w:sz="2" w:space="0" w:color="E3E3E3"/>
                            <w:right w:val="single" w:sz="2" w:space="0" w:color="E3E3E3"/>
                          </w:divBdr>
                          <w:divsChild>
                            <w:div w:id="1445031944">
                              <w:marLeft w:val="0"/>
                              <w:marRight w:val="0"/>
                              <w:marTop w:val="0"/>
                              <w:marBottom w:val="0"/>
                              <w:divBdr>
                                <w:top w:val="single" w:sz="2" w:space="0" w:color="E3E3E3"/>
                                <w:left w:val="single" w:sz="2" w:space="0" w:color="E3E3E3"/>
                                <w:bottom w:val="single" w:sz="2" w:space="0" w:color="E3E3E3"/>
                                <w:right w:val="single" w:sz="2" w:space="0" w:color="E3E3E3"/>
                              </w:divBdr>
                              <w:divsChild>
                                <w:div w:id="356733123">
                                  <w:marLeft w:val="0"/>
                                  <w:marRight w:val="0"/>
                                  <w:marTop w:val="0"/>
                                  <w:marBottom w:val="0"/>
                                  <w:divBdr>
                                    <w:top w:val="single" w:sz="2" w:space="0" w:color="E3E3E3"/>
                                    <w:left w:val="single" w:sz="2" w:space="0" w:color="E3E3E3"/>
                                    <w:bottom w:val="single" w:sz="2" w:space="0" w:color="E3E3E3"/>
                                    <w:right w:val="single" w:sz="2" w:space="0" w:color="E3E3E3"/>
                                  </w:divBdr>
                                  <w:divsChild>
                                    <w:div w:id="18568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281149">
                      <w:marLeft w:val="0"/>
                      <w:marRight w:val="0"/>
                      <w:marTop w:val="0"/>
                      <w:marBottom w:val="0"/>
                      <w:divBdr>
                        <w:top w:val="single" w:sz="2" w:space="0" w:color="E3E3E3"/>
                        <w:left w:val="single" w:sz="2" w:space="0" w:color="E3E3E3"/>
                        <w:bottom w:val="single" w:sz="2" w:space="0" w:color="E3E3E3"/>
                        <w:right w:val="single" w:sz="2" w:space="0" w:color="E3E3E3"/>
                      </w:divBdr>
                      <w:divsChild>
                        <w:div w:id="1143541745">
                          <w:marLeft w:val="0"/>
                          <w:marRight w:val="0"/>
                          <w:marTop w:val="0"/>
                          <w:marBottom w:val="0"/>
                          <w:divBdr>
                            <w:top w:val="single" w:sz="2" w:space="0" w:color="E3E3E3"/>
                            <w:left w:val="single" w:sz="2" w:space="0" w:color="E3E3E3"/>
                            <w:bottom w:val="single" w:sz="2" w:space="0" w:color="E3E3E3"/>
                            <w:right w:val="single" w:sz="2" w:space="0" w:color="E3E3E3"/>
                          </w:divBdr>
                        </w:div>
                        <w:div w:id="1502355249">
                          <w:marLeft w:val="0"/>
                          <w:marRight w:val="0"/>
                          <w:marTop w:val="0"/>
                          <w:marBottom w:val="0"/>
                          <w:divBdr>
                            <w:top w:val="single" w:sz="2" w:space="0" w:color="E3E3E3"/>
                            <w:left w:val="single" w:sz="2" w:space="0" w:color="E3E3E3"/>
                            <w:bottom w:val="single" w:sz="2" w:space="0" w:color="E3E3E3"/>
                            <w:right w:val="single" w:sz="2" w:space="0" w:color="E3E3E3"/>
                          </w:divBdr>
                          <w:divsChild>
                            <w:div w:id="1977563326">
                              <w:marLeft w:val="0"/>
                              <w:marRight w:val="0"/>
                              <w:marTop w:val="0"/>
                              <w:marBottom w:val="0"/>
                              <w:divBdr>
                                <w:top w:val="single" w:sz="2" w:space="0" w:color="E3E3E3"/>
                                <w:left w:val="single" w:sz="2" w:space="0" w:color="E3E3E3"/>
                                <w:bottom w:val="single" w:sz="2" w:space="0" w:color="E3E3E3"/>
                                <w:right w:val="single" w:sz="2" w:space="0" w:color="E3E3E3"/>
                              </w:divBdr>
                              <w:divsChild>
                                <w:div w:id="515772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3905833">
      <w:bodyDiv w:val="1"/>
      <w:marLeft w:val="0"/>
      <w:marRight w:val="0"/>
      <w:marTop w:val="0"/>
      <w:marBottom w:val="0"/>
      <w:divBdr>
        <w:top w:val="none" w:sz="0" w:space="0" w:color="auto"/>
        <w:left w:val="none" w:sz="0" w:space="0" w:color="auto"/>
        <w:bottom w:val="none" w:sz="0" w:space="0" w:color="auto"/>
        <w:right w:val="none" w:sz="0" w:space="0" w:color="auto"/>
      </w:divBdr>
    </w:div>
    <w:div w:id="200770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borneclarke.com/es/insights/la-business-judgement-rule-como-mecanismo-de-limitacion-de-la-responsabilidad-de-los-administradores-en-la-toma-de-decision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romeroconsultores.es/blog/discrecionalidad-empresarial-business-judgment-rul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fiati.com/en/literature-selections/emissions/" TargetMode="External"/><Relationship Id="rId5" Type="http://schemas.openxmlformats.org/officeDocument/2006/relationships/footnotes" Target="footnotes.xml"/><Relationship Id="rId10" Type="http://schemas.openxmlformats.org/officeDocument/2006/relationships/hyperlink" Target="https://vlex.es/vid/extincion-reclamo-prescripcion-ma-1969-59-15068822" TargetMode="External"/><Relationship Id="rId4" Type="http://schemas.openxmlformats.org/officeDocument/2006/relationships/webSettings" Target="webSettings.xml"/><Relationship Id="rId9" Type="http://schemas.openxmlformats.org/officeDocument/2006/relationships/hyperlink" Target="https://www.youtube.com/watch?v=25MC7hIZco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 Tobio Souto</dc:creator>
  <cp:keywords/>
  <dc:description/>
  <cp:lastModifiedBy>Yago Tobio Souto</cp:lastModifiedBy>
  <cp:revision>4</cp:revision>
  <dcterms:created xsi:type="dcterms:W3CDTF">2024-02-21T15:27:00Z</dcterms:created>
  <dcterms:modified xsi:type="dcterms:W3CDTF">2024-02-21T18:33:00Z</dcterms:modified>
</cp:coreProperties>
</file>