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2. Levantamento das fontes de dados públicas e não confidenciais</w:t>
      </w:r>
    </w:p>
    <w:p>
      <w:r>
        <w:t>Projeto: Impacto ambiental e circulação internacional de roupas usadas</w:t>
        <w:br/>
        <w:t>Objetivo desta seção: identificar as fontes públicas que serão utilizadas, descrever os dados disponíveis e documentar formas apropriadas de acesso e coleta.</w:t>
      </w:r>
    </w:p>
    <w:p>
      <w:pPr>
        <w:pStyle w:val="Heading2"/>
      </w:pPr>
      <w:r>
        <w:t>2.1. Critérios de seleção</w:t>
      </w:r>
    </w:p>
    <w:p>
      <w:r>
        <w:t>Foram priorizadas fontes institucionais e públicas, com dados relacionados ao comércio internacional de roupas usadas, resíduos têxteis, economia circular e impactos ambientais. A coleta deverá respeitar os termos de uso, limites de acesso e licenças de cada plataforma. Serão utilizados apenas dados públicos e não confidenciais.</w:t>
      </w:r>
    </w:p>
    <w:p>
      <w:pPr>
        <w:pStyle w:val="Heading2"/>
      </w:pPr>
      <w:r>
        <w:t>1. UN Comtrade — fonte principal</w:t>
      </w:r>
    </w:p>
    <w:p>
      <w:r>
        <w:rPr>
          <w:b/>
        </w:rPr>
        <w:t xml:space="preserve">Descrição da fonte: </w:t>
      </w:r>
      <w:r>
        <w:t>Base estatística das Nações Unidas sobre comércio internacional de mercadorias. Permite consultar fluxos comerciais por país declarante, parceiro comercial, período, produto e tipo de fluxo. Para este projeto, o código HS 6309 corresponde a roupas e outros artigos têxteis usados.</w:t>
      </w:r>
    </w:p>
    <w:p>
      <w:r>
        <w:rPr>
          <w:b/>
        </w:rPr>
        <w:t xml:space="preserve">Tipo de dados disponíveis: </w:t>
      </w:r>
      <w:r>
        <w:t>Dados estruturados em tabelas: país exportador/declarante, país parceiro/destino, ano, código e descrição do produto, fluxo comercial, valor comercial e medidas de quantidade ou peso quando reportadas. A disponibilidade de quantidade/peso pode variar por país e período.</w:t>
      </w:r>
    </w:p>
    <w:p>
      <w:r>
        <w:rPr>
          <w:b/>
        </w:rPr>
        <w:t xml:space="preserve">Métodos de acesso e coleta: </w:t>
      </w:r>
      <w:r>
        <w:t>Consulta e exportação pela plataforma UN Comtrade Plus. Para coleta automatizada, utilizar a API oficial, observando documentação, limites de consulta e eventuais requisitos de chave de acesso. Registrar os parâmetros da consulta e a data da extração.</w:t>
      </w:r>
    </w:p>
    <w:p>
      <w:r>
        <w:rPr>
          <w:b/>
        </w:rPr>
        <w:t xml:space="preserve">Utilização no projeto: </w:t>
      </w:r>
      <w:r>
        <w:t>Fonte central para a análise exploratória de dados (EDA) dos fluxos internacionais de roupas usadas.</w:t>
      </w:r>
    </w:p>
    <w:p>
      <w:pPr>
        <w:pStyle w:val="Heading2"/>
      </w:pPr>
      <w:r>
        <w:t>2. European Environment Agency (EEA) — exportações europeias de têxteis usados</w:t>
      </w:r>
    </w:p>
    <w:p>
      <w:r>
        <w:rPr>
          <w:b/>
        </w:rPr>
        <w:t xml:space="preserve">Descrição da fonte: </w:t>
      </w:r>
      <w:r>
        <w:t>Agência Europeia do Ambiente que publica análises sobre as exportações de têxteis usados e seu papel na economia circular europeia. A análise indicada utiliza dados de comércio internacional e apresenta tendências históricas, incluindo destinos regionais.</w:t>
      </w:r>
    </w:p>
    <w:p>
      <w:r>
        <w:rPr>
          <w:b/>
        </w:rPr>
        <w:t xml:space="preserve">Tipo de dados disponíveis: </w:t>
      </w:r>
      <w:r>
        <w:t>Combinação de dados estruturados usados em gráficos e indicadores, acompanhados de relatórios e explicações textuais. A análise referida considera os códigos HS 6309 e 6310; por isso, a definição de produto pode ser mais ampla do que a consulta HS 6309 isolada.</w:t>
      </w:r>
    </w:p>
    <w:p>
      <w:r>
        <w:rPr>
          <w:b/>
        </w:rPr>
        <w:t xml:space="preserve">Métodos de acesso e coleta: </w:t>
      </w:r>
      <w:r>
        <w:t>Acessar a publicação e a página dos gráficos. Quando os dados ou arquivos associados estiverem disponíveis para download, baixá-los diretamente. Caso contrário, utilizar os valores publicados nos gráficos apenas com registro da metodologia e sem presumir que existe uma API específica.</w:t>
      </w:r>
    </w:p>
    <w:p>
      <w:r>
        <w:rPr>
          <w:b/>
        </w:rPr>
        <w:t xml:space="preserve">Utilização no projeto: </w:t>
      </w:r>
      <w:r>
        <w:t>Contextualização das exportações europeias e comparação/validação dos padrões observados na UN Comtrade.</w:t>
      </w:r>
    </w:p>
    <w:p>
      <w:pPr>
        <w:pStyle w:val="Heading2"/>
      </w:pPr>
      <w:r>
        <w:t>3. Ellen MacArthur Foundation — Gana e mercado de Kantamanto</w:t>
      </w:r>
    </w:p>
    <w:p>
      <w:r>
        <w:rPr>
          <w:b/>
        </w:rPr>
        <w:t xml:space="preserve">Descrição da fonte: </w:t>
      </w:r>
      <w:r>
        <w:t>Publicação sobre responsabilidade estendida do produtor para têxteis em Gana. Apresenta informações sobre importação de roupas usadas e o papel do mercado de Kantamanto no fluxo local de roupas.</w:t>
      </w:r>
    </w:p>
    <w:p>
      <w:r>
        <w:rPr>
          <w:b/>
        </w:rPr>
        <w:t xml:space="preserve">Tipo de dados disponíveis: </w:t>
      </w:r>
      <w:r>
        <w:t>Informações quantitativas e qualitativas apresentadas em relatório/página documental. Os números citados na fonte incluem estimativas sobre volumes importados e a parcela direcionada a Kantamanto; é importante manter o ano de referência e a metodologia original ao utilizá-los.</w:t>
      </w:r>
    </w:p>
    <w:p>
      <w:r>
        <w:rPr>
          <w:b/>
        </w:rPr>
        <w:t xml:space="preserve">Métodos de acesso e coleta: </w:t>
      </w:r>
      <w:r>
        <w:t>Consulta direta à página e ao relatório associado. Se houver documentos ou anexos disponibilizados, fazer download direto. Extrair manualmente os indicadores documentados quando não houver arquivo de dados estruturado; registrar página, unidade, ano e definição de cada número.</w:t>
      </w:r>
    </w:p>
    <w:p>
      <w:r>
        <w:rPr>
          <w:b/>
        </w:rPr>
        <w:t xml:space="preserve">Utilização no projeto: </w:t>
      </w:r>
      <w:r>
        <w:t>Estudo de caso que conecta os fluxos internacionais ao destino e à gestão das roupas usadas em Gana.</w:t>
      </w:r>
    </w:p>
    <w:p>
      <w:pPr>
        <w:pStyle w:val="Heading2"/>
      </w:pPr>
      <w:r>
        <w:t>4. Eurostat — resíduos e economia circular (fonte complementar)</w:t>
      </w:r>
    </w:p>
    <w:p>
      <w:r>
        <w:rPr>
          <w:b/>
        </w:rPr>
        <w:t xml:space="preserve">Descrição da fonte: </w:t>
      </w:r>
      <w:r>
        <w:t>Serviço estatístico da União Europeia, com conjuntos de dados sobre resíduos, comércio de resíduos por tipo de material e indicadores de economia circular, incluindo a taxa de uso circular de materiais.</w:t>
      </w:r>
    </w:p>
    <w:p>
      <w:r>
        <w:rPr>
          <w:b/>
        </w:rPr>
        <w:t xml:space="preserve">Tipo de dados disponíveis: </w:t>
      </w:r>
      <w:r>
        <w:t>Dados estruturados em tabelas estatísticas, com dimensões como país, ano, material, unidade e indicador. A cobertura temporal e a disponibilidade por país dependem do conjunto de dados selecionado.</w:t>
      </w:r>
    </w:p>
    <w:p>
      <w:r>
        <w:rPr>
          <w:b/>
        </w:rPr>
        <w:t xml:space="preserve">Métodos de acesso e coleta: </w:t>
      </w:r>
      <w:r>
        <w:t>Utilizar o Data Browser para filtrar e baixar tabelas nos formatos disponibilizados, ou recorrer às APIs oficiais do Eurostat quando adequadas. Verificar metadados, unidades, revisões e definições antes de combinar séries.</w:t>
      </w:r>
    </w:p>
    <w:p>
      <w:r>
        <w:rPr>
          <w:b/>
        </w:rPr>
        <w:t xml:space="preserve">Utilização no projeto: </w:t>
      </w:r>
      <w:r>
        <w:t>Adicionar contexto sobre resíduos e circularidade. Os indicadores gerais de circularidade não devem ser interpretados como medidas diretas de reutilização de roupas.</w:t>
      </w:r>
    </w:p>
    <w:p>
      <w:pPr>
        <w:pStyle w:val="Heading2"/>
      </w:pPr>
      <w:r>
        <w:t>5. United Nations Environment Programme (UNEP) — impacto ambiental têxtil (fonte complementar)</w:t>
      </w:r>
    </w:p>
    <w:p>
      <w:r>
        <w:rPr>
          <w:b/>
        </w:rPr>
        <w:t xml:space="preserve">Descrição da fonte: </w:t>
      </w:r>
      <w:r>
        <w:t>Programa das Nações Unidas para o Meio Ambiente, utilizado para contextualizar a relevância ambiental da indústria da moda e dos têxteis.</w:t>
      </w:r>
    </w:p>
    <w:p>
      <w:r>
        <w:rPr>
          <w:b/>
        </w:rPr>
        <w:t xml:space="preserve">Tipo de dados disponíveis: </w:t>
      </w:r>
      <w:r>
        <w:t>Principalmente informação documental e indicadores ambientais publicados em páginas e relatórios. Dependendo da publicação, os dados podem estar em texto, tabelas, gráficos ou documentos para download.</w:t>
      </w:r>
    </w:p>
    <w:p>
      <w:r>
        <w:rPr>
          <w:b/>
        </w:rPr>
        <w:t xml:space="preserve">Métodos de acesso e coleta: </w:t>
      </w:r>
      <w:r>
        <w:t>Consultar a publicação oficial e baixar relatórios quando disponíveis. Registrar o título, ano de publicação, período de referência e a fonte original dos indicadores. Não tratar estimativas de contexto como variáveis observadas diretamente na base de comércio.</w:t>
      </w:r>
    </w:p>
    <w:p>
      <w:r>
        <w:rPr>
          <w:b/>
        </w:rPr>
        <w:t xml:space="preserve">Utilização no projeto: </w:t>
      </w:r>
      <w:r>
        <w:t>Justificar a relevância ambiental do tema e apoiar a introdução e discussão dos resultados.</w:t>
      </w:r>
    </w:p>
    <w:p>
      <w:pPr>
        <w:pStyle w:val="Heading2"/>
      </w:pPr>
      <w:r>
        <w:t>2.2. Resumo comparativo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Fonte</w:t>
            </w:r>
          </w:p>
        </w:tc>
        <w:tc>
          <w:tcPr>
            <w:tcW w:type="dxa" w:w="2160"/>
          </w:tcPr>
          <w:p>
            <w:r>
              <w:t>Tipo predominante</w:t>
            </w:r>
          </w:p>
        </w:tc>
        <w:tc>
          <w:tcPr>
            <w:tcW w:type="dxa" w:w="2160"/>
          </w:tcPr>
          <w:p>
            <w:r>
              <w:t>Acesso principal</w:t>
            </w:r>
          </w:p>
        </w:tc>
        <w:tc>
          <w:tcPr>
            <w:tcW w:type="dxa" w:w="2160"/>
          </w:tcPr>
          <w:p>
            <w:r>
              <w:t>Papel no projeto</w:t>
            </w:r>
          </w:p>
        </w:tc>
      </w:tr>
      <w:tr>
        <w:tc>
          <w:tcPr>
            <w:tcW w:type="dxa" w:w="2160"/>
          </w:tcPr>
          <w:p>
            <w:r>
              <w:t>UN Comtrade</w:t>
            </w:r>
          </w:p>
        </w:tc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API e exportação/download</w:t>
            </w:r>
          </w:p>
        </w:tc>
        <w:tc>
          <w:tcPr>
            <w:tcW w:type="dxa" w:w="2160"/>
          </w:tcPr>
          <w:p>
            <w:r>
              <w:t>Base principal para EDA</w:t>
            </w:r>
          </w:p>
        </w:tc>
      </w:tr>
      <w:tr>
        <w:tc>
          <w:tcPr>
            <w:tcW w:type="dxa" w:w="2160"/>
          </w:tcPr>
          <w:p>
            <w:r>
              <w:t>EEA</w:t>
            </w:r>
          </w:p>
        </w:tc>
        <w:tc>
          <w:tcPr>
            <w:tcW w:type="dxa" w:w="2160"/>
          </w:tcPr>
          <w:p>
            <w:r>
              <w:t>Estruturado + documental</w:t>
            </w:r>
          </w:p>
        </w:tc>
        <w:tc>
          <w:tcPr>
            <w:tcW w:type="dxa" w:w="2160"/>
          </w:tcPr>
          <w:p>
            <w:r>
              <w:t>Página, gráficos e downloads disponíveis</w:t>
            </w:r>
          </w:p>
        </w:tc>
        <w:tc>
          <w:tcPr>
            <w:tcW w:type="dxa" w:w="2160"/>
          </w:tcPr>
          <w:p>
            <w:r>
              <w:t>Contexto e comparação europeia</w:t>
            </w:r>
          </w:p>
        </w:tc>
      </w:tr>
      <w:tr>
        <w:tc>
          <w:tcPr>
            <w:tcW w:type="dxa" w:w="2160"/>
          </w:tcPr>
          <w:p>
            <w:r>
              <w:t>Ellen MacArthur Foundation</w:t>
            </w:r>
          </w:p>
        </w:tc>
        <w:tc>
          <w:tcPr>
            <w:tcW w:type="dxa" w:w="2160"/>
          </w:tcPr>
          <w:p>
            <w:r>
              <w:t>Quantitativo + documental</w:t>
            </w:r>
          </w:p>
        </w:tc>
        <w:tc>
          <w:tcPr>
            <w:tcW w:type="dxa" w:w="2160"/>
          </w:tcPr>
          <w:p>
            <w:r>
              <w:t>Página e relatório</w:t>
            </w:r>
          </w:p>
        </w:tc>
        <w:tc>
          <w:tcPr>
            <w:tcW w:type="dxa" w:w="2160"/>
          </w:tcPr>
          <w:p>
            <w:r>
              <w:t>Estudo de caso de Gana/Kantamanto</w:t>
            </w:r>
          </w:p>
        </w:tc>
      </w:tr>
      <w:tr>
        <w:tc>
          <w:tcPr>
            <w:tcW w:type="dxa" w:w="2160"/>
          </w:tcPr>
          <w:p>
            <w:r>
              <w:t>Eurostat</w:t>
            </w:r>
          </w:p>
        </w:tc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Data Browser, downloads e APIs</w:t>
            </w:r>
          </w:p>
        </w:tc>
        <w:tc>
          <w:tcPr>
            <w:tcW w:type="dxa" w:w="2160"/>
          </w:tcPr>
          <w:p>
            <w:r>
              <w:t>Resíduos e economia circular</w:t>
            </w:r>
          </w:p>
        </w:tc>
      </w:tr>
      <w:tr>
        <w:tc>
          <w:tcPr>
            <w:tcW w:type="dxa" w:w="2160"/>
          </w:tcPr>
          <w:p>
            <w:r>
              <w:t>UNEP</w:t>
            </w:r>
          </w:p>
        </w:tc>
        <w:tc>
          <w:tcPr>
            <w:tcW w:type="dxa" w:w="2160"/>
          </w:tcPr>
          <w:p>
            <w:r>
              <w:t>Documental + indicadores</w:t>
            </w:r>
          </w:p>
        </w:tc>
        <w:tc>
          <w:tcPr>
            <w:tcW w:type="dxa" w:w="2160"/>
          </w:tcPr>
          <w:p>
            <w:r>
              <w:t>Páginas e relatórios</w:t>
            </w:r>
          </w:p>
        </w:tc>
        <w:tc>
          <w:tcPr>
            <w:tcW w:type="dxa" w:w="2160"/>
          </w:tcPr>
          <w:p>
            <w:r>
              <w:t>Contextualização ambiental</w:t>
            </w:r>
          </w:p>
        </w:tc>
      </w:tr>
    </w:tbl>
    <w:p>
      <w:pPr>
        <w:pStyle w:val="Heading2"/>
      </w:pPr>
      <w:r>
        <w:t>2.3. Procedimento de coleta e organização</w:t>
      </w:r>
    </w:p>
    <w:p>
      <w:pPr>
        <w:pStyle w:val="ListNumber"/>
      </w:pPr>
      <w:r>
        <w:t>Definir a pergunta de análise, o período e os países a incluir antes de extrair os dados.</w:t>
      </w:r>
    </w:p>
    <w:p>
      <w:pPr>
        <w:pStyle w:val="ListNumber"/>
      </w:pPr>
      <w:r>
        <w:t>Na UN Comtrade, começar pelo HS 6309 e pelo fluxo de exportação; selecionar ano, país declarante e parceiros conforme a pergunta. Conferir se a medida de quantidade/peso está disponível.</w:t>
      </w:r>
    </w:p>
    <w:p>
      <w:pPr>
        <w:pStyle w:val="ListNumber"/>
      </w:pPr>
      <w:r>
        <w:t>Guardar os arquivos brutos sem alterações em 03_dados/dados_originais/ e manter uma cópia dos parâmetros da consulta.</w:t>
      </w:r>
    </w:p>
    <w:p>
      <w:pPr>
        <w:pStyle w:val="ListNumber"/>
      </w:pPr>
      <w:r>
        <w:t>Registrar para cada extração: fonte, URL, data de acesso, filtros utilizados, período coberto, unidades, limitações e licença/termos aplicáveis.</w:t>
      </w:r>
    </w:p>
    <w:p>
      <w:pPr>
        <w:pStyle w:val="ListNumber"/>
      </w:pPr>
      <w:r>
        <w:t>Criar versões tratadas separadamente em 03_dados/dados_tratados/, sem substituir os arquivos originais.</w:t>
      </w:r>
    </w:p>
    <w:p>
      <w:pPr>
        <w:pStyle w:val="ListNumber"/>
      </w:pPr>
      <w:r>
        <w:t>Usar EEA e Ellen MacArthur Foundation para comparação contextual; utilizar Eurostat e UNEP como fontes complementares, respeitando diferenças de definição e escopo.</w:t>
      </w:r>
    </w:p>
    <w:p>
      <w:pPr>
        <w:pStyle w:val="Heading2"/>
      </w:pPr>
      <w:r>
        <w:t>2.4. Cuidados metodológicos</w:t>
      </w:r>
    </w:p>
    <w:p>
      <w:pPr>
        <w:pStyle w:val="ListBullet"/>
      </w:pPr>
      <w:r>
        <w:t>HS 6309 identifica roupas e outros artigos têxteis usados; HS 6310 abrange trapos, cordéis, cordas e artigos têxteis usados ou inutilizáveis. Não somar os códigos sem explicar a definição adotada.</w:t>
      </w:r>
    </w:p>
    <w:p>
      <w:pPr>
        <w:pStyle w:val="ListBullet"/>
      </w:pPr>
      <w:r>
        <w:t>Exportações reportadas por um país e importações reportadas pelo parceiro podem divergir por diferenças de registro, período, cobertura e critérios estatísticos.</w:t>
      </w:r>
    </w:p>
    <w:p>
      <w:pPr>
        <w:pStyle w:val="ListBullet"/>
      </w:pPr>
      <w:r>
        <w:t>Valores de peso, quantidade e valor comercial podem ter cobertura desigual. Não substituir valores ausentes por zero sem justificativa.</w:t>
      </w:r>
    </w:p>
    <w:p>
      <w:pPr>
        <w:pStyle w:val="ListBullet"/>
      </w:pPr>
      <w:r>
        <w:t>Indicadores publicados em relatórios podem ser estimativas ou ter anos de referência diferentes. Sempre documentar unidade, ano e definição.</w:t>
      </w:r>
    </w:p>
    <w:p>
      <w:pPr>
        <w:pStyle w:val="ListBullet"/>
      </w:pPr>
      <w:r>
        <w:t>Scraping não será a primeira opção. Preferir APIs oficiais, downloads e dados publicados; realizar extração automatizada de páginas apenas se permitida pelos termos do site e necessária.</w:t>
      </w:r>
    </w:p>
    <w:p>
      <w:pPr>
        <w:pStyle w:val="Heading2"/>
      </w:pPr>
      <w:r>
        <w:t>2.5. Links das fontes</w:t>
      </w:r>
    </w:p>
    <w:p>
      <w:pPr>
        <w:pStyle w:val="ListBullet"/>
      </w:pPr>
      <w:r>
        <w:rPr>
          <w:b/>
        </w:rPr>
        <w:t xml:space="preserve">UN Comtrade Plus — consulta de HS 6309: </w:t>
      </w:r>
      <w:r>
        <w:t>https://comtradeplus.un.org/TradeFlow?AggregateBy=none&amp;BreakdownMode=plus&amp;CommodityCodes=6309&amp;Flows=X&amp;Frequency=A&amp;Partners=0&amp;Reporters=97&amp;period=2025</w:t>
      </w:r>
    </w:p>
    <w:p>
      <w:pPr>
        <w:pStyle w:val="ListBullet"/>
      </w:pPr>
      <w:r>
        <w:rPr>
          <w:b/>
        </w:rPr>
        <w:t xml:space="preserve">UN Comtrade — página inicial: </w:t>
      </w:r>
      <w:r>
        <w:t>https://comtradeplus.un.org/</w:t>
      </w:r>
    </w:p>
    <w:p>
      <w:pPr>
        <w:pStyle w:val="ListBullet"/>
      </w:pPr>
      <w:r>
        <w:rPr>
          <w:b/>
        </w:rPr>
        <w:t xml:space="preserve">UN Comtrade — API (documentação): </w:t>
      </w:r>
      <w:r>
        <w:t>https://comtradeapi.un.org/</w:t>
      </w:r>
    </w:p>
    <w:p>
      <w:pPr>
        <w:pStyle w:val="ListBullet"/>
      </w:pPr>
      <w:r>
        <w:rPr>
          <w:b/>
        </w:rPr>
        <w:t xml:space="preserve">EEA — EU exports of used textiles: </w:t>
      </w:r>
      <w:r>
        <w:t>https://www.eea.europa.eu/en/analysis/publications/eu-exports-of-used-textiles</w:t>
      </w:r>
    </w:p>
    <w:p>
      <w:pPr>
        <w:pStyle w:val="ListBullet"/>
      </w:pPr>
      <w:r>
        <w:rPr>
          <w:b/>
        </w:rPr>
        <w:t xml:space="preserve">EEA — Total exports of used textiles by region: </w:t>
      </w:r>
      <w:r>
        <w:t>https://www.eea.europa.eu/en/analysis/maps-and-charts/total-exports-of-used-textiles</w:t>
      </w:r>
    </w:p>
    <w:p>
      <w:pPr>
        <w:pStyle w:val="ListBullet"/>
      </w:pPr>
      <w:r>
        <w:rPr>
          <w:b/>
        </w:rPr>
        <w:t xml:space="preserve">Ellen MacArthur Foundation — EPR for textiles in Ghana: </w:t>
      </w:r>
      <w:r>
        <w:t>https://www.ellenmacarthurfoundation.org/epr-for-textiles-in-ghana</w:t>
      </w:r>
    </w:p>
    <w:p>
      <w:pPr>
        <w:pStyle w:val="ListBullet"/>
      </w:pPr>
      <w:r>
        <w:rPr>
          <w:b/>
        </w:rPr>
        <w:t xml:space="preserve">Eurostat — Waste trade by material and partner: </w:t>
      </w:r>
      <w:r>
        <w:t>https://ec.europa.eu/eurostat/cache/metadata/EN/env_wastrdmp_esms.htm</w:t>
      </w:r>
    </w:p>
    <w:p>
      <w:pPr>
        <w:pStyle w:val="ListBullet"/>
      </w:pPr>
      <w:r>
        <w:rPr>
          <w:b/>
        </w:rPr>
        <w:t xml:space="preserve">Eurostat — Circular material use rate: </w:t>
      </w:r>
      <w:r>
        <w:t>https://ec.europa.eu/eurostat/databrowser/product/view/sdg_12_41</w:t>
      </w:r>
    </w:p>
    <w:p>
      <w:pPr>
        <w:pStyle w:val="ListBullet"/>
      </w:pPr>
      <w:r>
        <w:rPr>
          <w:b/>
        </w:rPr>
        <w:t xml:space="preserve">Eurostat — Data Browser: </w:t>
      </w:r>
      <w:r>
        <w:t>https://ec.europa.eu/eurostat/databrowser/</w:t>
      </w:r>
    </w:p>
    <w:p>
      <w:pPr>
        <w:pStyle w:val="ListBullet"/>
      </w:pPr>
      <w:r>
        <w:rPr>
          <w:b/>
        </w:rPr>
        <w:t xml:space="preserve">UNEP — Minimizing fashion’s environmental footprint: </w:t>
      </w:r>
      <w:r>
        <w:t>https://www.unep.org/annualreport/2025/stories/minimizing-fashions-environmental-footprint</w:t>
      </w:r>
    </w:p>
    <w:p>
      <w:r>
        <w:t>Nota: este documento descreve as fontes e os métodos de acesso previstos. A coleta efetiva, a disponibilidade dos arquivos e os valores mais recentes devem ser confirmados diretamente nas plataformas no momento da extração.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