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iraMono-bold.ttf" ContentType="application/x-font-ttf"/>
  <Override PartName="/word/fonts/Fira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right="142" w:firstLine="0"/>
        <w:jc w:val="both"/>
        <w:rPr>
          <w:rFonts w:ascii="Arial" w:cs="Arial" w:eastAsia="Arial" w:hAnsi="Arial"/>
          <w:sz w:val="24"/>
          <w:szCs w:val="24"/>
        </w:rPr>
      </w:pPr>
      <w:r w:rsidDel="00000000" w:rsidR="00000000" w:rsidRPr="00000000">
        <w:rPr>
          <w:rFonts w:ascii="Arial" w:cs="Arial" w:eastAsia="Arial" w:hAnsi="Arial"/>
          <w:sz w:val="24"/>
          <w:szCs w:val="24"/>
          <w:rtl w:val="0"/>
        </w:rPr>
      </w:r>
      <w:r>
        <w:rPr>
          <w:rFonts w:ascii="Arial" w:cs="Arial" w:eastAsia="Arial" w:hAnsi="Arial"/>
          <w:b/>
          <w:sz w:val="24"/>
          <w:szCs w:val="24"/>
          <w:rtl w:val="0"/>
        </w:rPr>
        <w:t>&lt;&lt;ENDERECAMENTO&gt;&gt;</w:t>
      </w:r>
      <w:r w:rsidDel="00000000" w:rsidR="00000000" w:rsidRPr="00000000">
        <w:rPr>
          <w:rFonts w:ascii="Arial" w:cs="Arial" w:eastAsia="Arial" w:hAnsi="Arial"/>
          <w:sz w:val="24"/>
          <w:szCs w:val="24"/>
          <w:u w:val="single"/>
          <w:rtl w:val="0"/>
        </w:rPr>
      </w:r>
      <w:r w:rsidDel="00000000" w:rsidR="00000000" w:rsidRPr="00000000">
        <w:rPr>
          <w:rFonts w:ascii="Arial" w:cs="Arial" w:eastAsia="Arial" w:hAnsi="Arial"/>
          <w:sz w:val="24"/>
          <w:szCs w:val="24"/>
          <w:rtl w:val="0"/>
        </w:rPr>
      </w:r>
    </w:p>
    <w:p w:rsidR="00000000" w:rsidDel="00000000" w:rsidP="00000000" w:rsidRDefault="00000000" w:rsidRPr="00000000" w14:paraId="00000002">
      <w:pPr>
        <w:pStyle w:val="Heading1"/>
        <w:ind w:left="0" w:right="142" w:firstLine="0"/>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r>
      <w:r>
        <w:rPr>
          <w:rFonts w:ascii="Arial" w:cs="Arial" w:eastAsia="Arial" w:hAnsi="Arial"/>
          <w:b/>
          <w:sz w:val="24"/>
          <w:szCs w:val="24"/>
          <w:rtl w:val="0"/>
        </w:rPr>
        <w:t>&lt;&lt;SECAO_JUDICIARIA&gt;&gt;</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ind w:right="14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ind w:right="14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ind w:right="14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ind w:left="2268" w:right="142" w:firstLine="0"/>
        <w:jc w:val="both"/>
        <w:rPr>
          <w:rFonts w:ascii="Arial" w:cs="Arial" w:eastAsia="Arial" w:hAnsi="Arial"/>
          <w:b w:val="1"/>
          <w:bCs w:val="1"/>
          <w:color w:val="1f1f1f"/>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2268" w:right="142" w:firstLine="0"/>
        <w:jc w:val="both"/>
        <w:rPr>
          <w:rFonts w:ascii="Arial" w:cs="Arial" w:eastAsia="Arial" w:hAnsi="Arial"/>
          <w:color w:val="000000"/>
          <w:sz w:val="24"/>
          <w:szCs w:val="24"/>
        </w:rPr>
      </w:pPr>
      <w:r w:rsidDel="00000000" w:rsidR="00000000" w:rsidRPr="00000000">
        <w:rPr>
          <w:rFonts w:ascii="Arial" w:cs="Arial" w:eastAsia="Arial" w:hAnsi="Arial"/>
          <w:b w:val="1"/>
          <w:bCs w:val="1"/>
          <w:color w:val="202124"/>
          <w:sz w:val="24"/>
          <w:szCs w:val="24"/>
          <w:rtl w:val="0"/>
        </w:rPr>
      </w:r>
      <w:r>
        <w:rPr>
          <w:rFonts w:ascii="Arial" w:cs="Arial" w:eastAsia="Arial" w:hAnsi="Arial"/>
          <w:b/>
          <w:bCs w:val="1"/>
          <w:color w:val="202124"/>
          <w:sz w:val="24"/>
          <w:szCs w:val="24"/>
          <w:rtl w:val="0"/>
        </w:rPr>
        <w:t>&lt;&lt;NOME_COMPLETO&gt;&gt;</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pescador(a)</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inscrito(a) no CPF sob o nº </w:t>
      </w:r>
      <w:r w:rsidDel="00000000" w:rsidR="00000000" w:rsidRPr="00000000">
        <w:rPr>
          <w:rFonts w:ascii="Arial" w:cs="Arial" w:eastAsia="Arial" w:hAnsi="Arial"/>
          <w:color w:val="202124"/>
          <w:sz w:val="24"/>
          <w:szCs w:val="24"/>
          <w:rtl w:val="0"/>
        </w:rPr>
        <w:t xml:space="preserve">&lt;&lt;CPF&gt;&gt;</w:t>
      </w:r>
      <w:r w:rsidDel="00000000" w:rsidR="00000000" w:rsidRPr="00000000">
        <w:rPr>
          <w:rFonts w:ascii="Arial" w:cs="Arial" w:eastAsia="Arial" w:hAnsi="Arial"/>
          <w:sz w:val="24"/>
          <w:szCs w:val="24"/>
          <w:rtl w:val="0"/>
        </w:rPr>
        <w:t xml:space="preserve">, residente à </w:t>
      </w:r>
      <w:r>
        <w:rPr>
          <w:rFonts w:ascii="Arial" w:cs="Arial" w:eastAsia="Arial" w:hAnsi="Arial"/>
          <w:b/>
          <w:sz w:val="24"/>
          <w:szCs w:val="24"/>
          <w:rtl w:val="0"/>
        </w:rPr>
        <w:t>&lt;&lt;ENDERECO&gt;&gt;</w:t>
      </w:r>
      <w:r>
        <w:rPr>
          <w:rFonts w:ascii="Arial" w:cs="Arial" w:eastAsia="Arial" w:hAnsi="Arial"/>
          <w:sz w:val="24"/>
          <w:szCs w:val="24"/>
          <w:rtl w:val="0"/>
        </w:rPr>
        <w:t xml:space="preserve">, </w:t>
      </w:r>
      <w:r>
        <w:rPr>
          <w:rFonts w:ascii="Arial" w:cs="Arial" w:eastAsia="Arial" w:hAnsi="Arial"/>
          <w:b/>
          <w:sz w:val="24"/>
          <w:szCs w:val="24"/>
          <w:rtl w:val="0"/>
        </w:rPr>
        <w:t>&lt;&lt;CIDADE_UF&gt;&gt;</w:t>
      </w:r>
      <w:r>
        <w:rPr>
          <w:rFonts w:ascii="Arial" w:cs="Arial" w:eastAsia="Arial" w:hAnsi="Arial"/>
          <w:sz w:val="24"/>
          <w:szCs w:val="24"/>
          <w:rtl w:val="0"/>
        </w:rPr>
        <w:t xml:space="preserve">, </w:t>
      </w:r>
      <w:r>
        <w:rPr>
          <w:rFonts w:ascii="Arial" w:cs="Arial" w:eastAsia="Arial" w:hAnsi="Arial"/>
          <w:b/>
          <w:sz w:val="24"/>
          <w:szCs w:val="24"/>
          <w:rtl w:val="0"/>
        </w:rPr>
        <w:t xml:space="preserve">&lt;&lt;TELEFONE&gt;&gt; </w:t>
      </w:r>
      <w:r w:rsidDel="00000000" w:rsidR="00000000" w:rsidRPr="00000000">
        <w:rPr>
          <w:rFonts w:ascii="Arial" w:cs="Arial" w:eastAsia="Arial" w:hAnsi="Arial"/>
          <w:color w:val="000000"/>
          <w:sz w:val="24"/>
          <w:szCs w:val="24"/>
          <w:rtl w:val="0"/>
        </w:rPr>
        <w:t xml:space="preserve">nesta ocasião representad</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color w:val="000000"/>
          <w:sz w:val="24"/>
          <w:szCs w:val="24"/>
          <w:rtl w:val="0"/>
        </w:rPr>
        <w:t xml:space="preserve"> por seus advogados e advogadas, regularmente inscritos(as) na OAB/RS, conforme procuração em anexo, todos(as) pertencentes ao Escritório Modelo de Assessoria Jurídica da Universidade Federal do Rio Grande (EMAJ/FURG), localizado na Rua Luiz Lorea, nº 261, na cidade de Rio Grande/RS, telefone (53) 99947-5757, vem à presença deste Juizo, propor a presente</w:t>
      </w:r>
    </w:p>
    <w:p w:rsidR="00000000" w:rsidDel="00000000" w:rsidP="00000000" w:rsidRDefault="00000000" w:rsidRPr="00000000" w14:paraId="00000008">
      <w:pPr>
        <w:pBdr>
          <w:top w:space="0" w:sz="0" w:val="nil"/>
          <w:left w:space="0" w:sz="0" w:val="nil"/>
          <w:bottom w:space="0" w:sz="0" w:val="nil"/>
          <w:right w:space="0" w:sz="0" w:val="nil"/>
          <w:between w:space="0" w:sz="0" w:val="nil"/>
        </w:pBdr>
        <w:ind w:left="2268" w:right="14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2268" w:right="14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tab/>
        <w:tab/>
        <w:tab/>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2268" w:right="142" w:firstLine="0"/>
        <w:jc w:val="center"/>
        <w:rPr>
          <w:rFonts w:ascii="Arial" w:cs="Arial" w:eastAsia="Arial" w:hAnsi="Arial"/>
          <w:b w:val="1"/>
          <w:bCs w:val="1"/>
          <w:sz w:val="24"/>
          <w:szCs w:val="24"/>
          <w:u w:val="single"/>
        </w:rPr>
      </w:pPr>
      <w:r w:rsidDel="00000000" w:rsidR="00000000" w:rsidRPr="00000000">
        <w:rPr>
          <w:rFonts w:ascii="Arial" w:cs="Arial" w:eastAsia="Arial" w:hAnsi="Arial"/>
          <w:b w:val="1"/>
          <w:bCs w:val="1"/>
          <w:color w:val="000000"/>
          <w:sz w:val="24"/>
          <w:szCs w:val="24"/>
          <w:u w:val="single"/>
          <w:rtl w:val="0"/>
        </w:rPr>
        <w:t xml:space="preserve">AÇÃO CONCESSÓRIA DO SEGURO-DEFESO, CUMULADA COM DANO MORAL</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ind w:left="2268" w:right="142" w:firstLine="0"/>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2268" w:right="142" w:firstLine="0"/>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left="2268" w:right="14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 face do </w:t>
      </w:r>
      <w:r w:rsidDel="00000000" w:rsidR="00000000" w:rsidRPr="00000000">
        <w:rPr>
          <w:rFonts w:ascii="Arial" w:cs="Arial" w:eastAsia="Arial" w:hAnsi="Arial"/>
          <w:b w:val="1"/>
          <w:bCs w:val="1"/>
          <w:color w:val="000000"/>
          <w:sz w:val="24"/>
          <w:szCs w:val="24"/>
          <w:rtl w:val="0"/>
        </w:rPr>
        <w:t xml:space="preserve">INSTITUTO NACIONAL DO SEGURO SOCIAL – INSS, </w:t>
      </w:r>
      <w:r w:rsidDel="00000000" w:rsidR="00000000" w:rsidRPr="00000000">
        <w:rPr>
          <w:rFonts w:ascii="Arial" w:cs="Arial" w:eastAsia="Arial" w:hAnsi="Arial"/>
          <w:color w:val="000000"/>
          <w:sz w:val="24"/>
          <w:szCs w:val="24"/>
          <w:rtl w:val="0"/>
        </w:rPr>
        <w:t xml:space="preserve">autarquia federal com personalidade jurídica própria, inscrita no CNPJ nº 29.979.036/0001-40, com sede no Setor de Autarquias Sul, Quadra 2, Bloco O, Asa Sul, Brasília/DF, CEP 70070-946, na pessoa de seu representante legal, pelos fatos e fundamentos a seguir expostos:</w:t>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F">
      <w:pPr>
        <w:pStyle w:val="Heading1"/>
        <w:tabs>
          <w:tab w:val="left" w:leader="none" w:pos="752"/>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0">
      <w:pPr>
        <w:pStyle w:val="Heading1"/>
        <w:tabs>
          <w:tab w:val="left" w:leader="none" w:pos="752"/>
        </w:tabs>
        <w:ind w:lef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1. DOS FATOS</w:t>
      </w:r>
    </w:p>
    <w:p w:rsidR="00000000" w:rsidDel="00000000" w:rsidP="00000000" w:rsidRDefault="00000000" w:rsidRPr="00000000" w14:paraId="00000011">
      <w:pPr>
        <w:pStyle w:val="Heading1"/>
        <w:tabs>
          <w:tab w:val="left" w:leader="none" w:pos="752"/>
        </w:tabs>
        <w:ind w:left="0" w:firstLine="0"/>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8"/>
          <w:szCs w:val="28"/>
        </w:rPr>
        <w:sectPr>
          <w:headerReference r:id="rId6" w:type="default"/>
          <w:footerReference r:id="rId7" w:type="default"/>
          <w:pgSz w:h="16840" w:w="11910" w:orient="portrait"/>
          <w:pgMar w:bottom="1140" w:top="1680" w:left="1275" w:right="992" w:header="0" w:footer="958"/>
          <w:pgNumType w:start="1"/>
        </w:sectPr>
      </w:pPr>
      <w:r w:rsidDel="00000000" w:rsidR="00000000" w:rsidRPr="00000000">
        <w:rPr>
          <w:rFonts w:ascii="Arial" w:cs="Arial" w:eastAsia="Arial" w:hAnsi="Arial"/>
          <w:color w:val="000000"/>
          <w:sz w:val="24"/>
          <w:szCs w:val="24"/>
          <w:rtl w:val="0"/>
        </w:rPr>
        <w:t xml:space="preserve">No dia 24 de junho de 2025, o Governo Federal promulgou a Lei n. 12.527/25, colocando novos procedimentos a serem observados para a concessão do SEGURO-DEFESO que encontram-se, essencialmente, elencadas no artigo que segue:</w:t>
      </w:r>
      <w:r w:rsidDel="00000000" w:rsidR="00000000" w:rsidRPr="00000000">
        <w:rPr>
          <w:rtl w:val="0"/>
        </w:rPr>
      </w:r>
    </w:p>
    <w:p w:rsidR="00000000" w:rsidDel="00000000" w:rsidP="00000000" w:rsidRDefault="00000000" w:rsidRPr="00000000" w14:paraId="00000013">
      <w:pPr>
        <w:ind w:left="2268" w:firstLine="0"/>
        <w:jc w:val="both"/>
        <w:rPr>
          <w:rFonts w:ascii="Arial" w:cs="Arial" w:eastAsia="Arial" w:hAnsi="Arial"/>
          <w:sz w:val="20"/>
          <w:szCs w:val="20"/>
        </w:rPr>
      </w:pPr>
      <w:hyperlink r:id="rId8">
        <w:r w:rsidDel="00000000" w:rsidR="00000000" w:rsidRPr="00000000">
          <w:rPr>
            <w:rFonts w:ascii="Arial" w:cs="Arial" w:eastAsia="Arial" w:hAnsi="Arial"/>
            <w:sz w:val="20"/>
            <w:szCs w:val="20"/>
            <w:rtl w:val="0"/>
          </w:rPr>
          <w:t xml:space="preserve">Art. 2º-A</w:t>
        </w:r>
      </w:hyperlink>
      <w:r w:rsidDel="00000000" w:rsidR="00000000" w:rsidRPr="00000000">
        <w:rPr>
          <w:rFonts w:ascii="Arial" w:cs="Arial" w:eastAsia="Arial" w:hAnsi="Arial"/>
          <w:sz w:val="20"/>
          <w:szCs w:val="20"/>
          <w:rtl w:val="0"/>
        </w:rPr>
        <w:t xml:space="preserve"> A concessão do benefício de seguro-desemprego de que trata este Decreto ao pe</w:t>
      </w:r>
      <w:hyperlink r:id="rId9">
        <w:r w:rsidDel="00000000" w:rsidR="00000000" w:rsidRPr="00000000">
          <w:rPr>
            <w:rFonts w:ascii="Arial" w:cs="Arial" w:eastAsia="Arial" w:hAnsi="Arial"/>
            <w:sz w:val="20"/>
            <w:szCs w:val="20"/>
            <w:rtl w:val="0"/>
          </w:rPr>
          <w:t xml:space="preserve">scador pr</w:t>
        </w:r>
      </w:hyperlink>
      <w:r w:rsidDel="00000000" w:rsidR="00000000" w:rsidRPr="00000000">
        <w:rPr>
          <w:rFonts w:ascii="Arial" w:cs="Arial" w:eastAsia="Arial" w:hAnsi="Arial"/>
          <w:sz w:val="20"/>
          <w:szCs w:val="20"/>
          <w:rtl w:val="0"/>
        </w:rPr>
        <w:t xml:space="preserve">ofissional que exerce a atividade pesqueira de forma artesanal somente ocorrerá após a homologação do seu registro no RGP.</w:t>
      </w:r>
    </w:p>
    <w:p w:rsidR="00000000" w:rsidDel="00000000" w:rsidP="00000000" w:rsidRDefault="00000000" w:rsidRPr="00000000" w14:paraId="00000014">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5">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1º A homologação de que trata o </w:t>
      </w:r>
      <w:r w:rsidDel="00000000" w:rsidR="00000000" w:rsidRPr="00000000">
        <w:rPr>
          <w:rFonts w:ascii="Arial" w:cs="Arial" w:eastAsia="Arial" w:hAnsi="Arial"/>
          <w:i w:val="1"/>
          <w:iCs w:val="1"/>
          <w:sz w:val="20"/>
          <w:szCs w:val="20"/>
          <w:rtl w:val="0"/>
        </w:rPr>
        <w:t xml:space="preserve">caput </w:t>
      </w:r>
      <w:r w:rsidDel="00000000" w:rsidR="00000000" w:rsidRPr="00000000">
        <w:rPr>
          <w:rFonts w:ascii="Arial" w:cs="Arial" w:eastAsia="Arial" w:hAnsi="Arial"/>
          <w:sz w:val="20"/>
          <w:szCs w:val="20"/>
          <w:rtl w:val="0"/>
        </w:rPr>
        <w:t xml:space="preserve">será solicitada à autoridade municipal ou distrital competente da localidade constante do RGP.</w:t>
      </w:r>
    </w:p>
    <w:p w:rsidR="00000000" w:rsidDel="00000000" w:rsidP="00000000" w:rsidRDefault="00000000" w:rsidRPr="00000000" w14:paraId="00000016">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2º O procedimento de homologação abrangerá as atividades de revisão e averiguação das informações apresentadas pelo interessado com a finalidade de obter o registro no RGP.</w:t>
      </w:r>
    </w:p>
    <w:p w:rsidR="00000000" w:rsidDel="00000000" w:rsidP="00000000" w:rsidRDefault="00000000" w:rsidRPr="00000000" w14:paraId="00000017">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3º No exercício das atividades de que trata o § 2º, a autoridade competente poderá notificar o interessado para apresentar esclarecimentos ou documentação complementar necessários à comprovação do cumprimento dos requisitos para obtenção do registro no RGP.</w:t>
      </w:r>
    </w:p>
    <w:p w:rsidR="00000000" w:rsidDel="00000000" w:rsidP="00000000" w:rsidRDefault="00000000" w:rsidRPr="00000000" w14:paraId="00000018">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4º Caso a autoridade competente, após a homologação de que trata o </w:t>
      </w:r>
      <w:r w:rsidDel="00000000" w:rsidR="00000000" w:rsidRPr="00000000">
        <w:rPr>
          <w:rFonts w:ascii="Arial" w:cs="Arial" w:eastAsia="Arial" w:hAnsi="Arial"/>
          <w:i w:val="1"/>
          <w:iCs w:val="1"/>
          <w:sz w:val="20"/>
          <w:szCs w:val="20"/>
          <w:rtl w:val="0"/>
        </w:rPr>
        <w:t xml:space="preserve">caput</w:t>
      </w:r>
      <w:r w:rsidDel="00000000" w:rsidR="00000000" w:rsidRPr="00000000">
        <w:rPr>
          <w:rFonts w:ascii="Arial" w:cs="Arial" w:eastAsia="Arial" w:hAnsi="Arial"/>
          <w:sz w:val="20"/>
          <w:szCs w:val="20"/>
          <w:rtl w:val="0"/>
        </w:rPr>
        <w:t xml:space="preserve">, constate a existência de fraude, irregularidade ou erro material, deverá comunicar o fato ao Ministério da Pesca e Aquicultura e ao INSS para adoção das providências cabíveis.</w:t>
      </w:r>
    </w:p>
    <w:p w:rsidR="00000000" w:rsidDel="00000000" w:rsidP="00000000" w:rsidRDefault="00000000" w:rsidRPr="00000000" w14:paraId="00000019">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5º A homologação de que trata o </w:t>
      </w:r>
      <w:r w:rsidDel="00000000" w:rsidR="00000000" w:rsidRPr="00000000">
        <w:rPr>
          <w:rFonts w:ascii="Arial" w:cs="Arial" w:eastAsia="Arial" w:hAnsi="Arial"/>
          <w:i w:val="1"/>
          <w:iCs w:val="1"/>
          <w:sz w:val="20"/>
          <w:szCs w:val="20"/>
          <w:rtl w:val="0"/>
        </w:rPr>
        <w:t xml:space="preserve">caput </w:t>
      </w:r>
      <w:r w:rsidDel="00000000" w:rsidR="00000000" w:rsidRPr="00000000">
        <w:rPr>
          <w:rFonts w:ascii="Arial" w:cs="Arial" w:eastAsia="Arial" w:hAnsi="Arial"/>
          <w:sz w:val="20"/>
          <w:szCs w:val="20"/>
          <w:rtl w:val="0"/>
        </w:rPr>
        <w:t xml:space="preserve">será válida pelo prazo de um ano, contado da data de deferimento do pedido de homologação pela autoridade competente.</w:t>
      </w:r>
    </w:p>
    <w:p w:rsidR="00000000" w:rsidDel="00000000" w:rsidP="00000000" w:rsidRDefault="00000000" w:rsidRPr="00000000" w14:paraId="0000001A">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6º O Ministério da Pesca e Aquicultura poderá editar normas complementares necessárias à execução do disposto neste artigo.” (NR)</w:t>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C">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 3º .......................................................................................................</w:t>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E">
      <w:pPr>
        <w:ind w:left="2268" w:firstLine="0"/>
        <w:jc w:val="both"/>
        <w:rPr>
          <w:rFonts w:ascii="Arial" w:cs="Arial" w:eastAsia="Arial" w:hAnsi="Arial"/>
          <w:sz w:val="20"/>
          <w:szCs w:val="20"/>
        </w:rPr>
      </w:pPr>
      <w:hyperlink r:id="rId10">
        <w:r w:rsidDel="00000000" w:rsidR="00000000" w:rsidRPr="00000000">
          <w:rPr>
            <w:rFonts w:ascii="Arial" w:cs="Arial" w:eastAsia="Arial" w:hAnsi="Arial"/>
            <w:sz w:val="20"/>
            <w:szCs w:val="20"/>
            <w:rtl w:val="0"/>
          </w:rPr>
          <w:t xml:space="preserve">§ 1º</w:t>
        </w:r>
      </w:hyperlink>
      <w:r w:rsidDel="00000000" w:rsidR="00000000" w:rsidRPr="00000000">
        <w:rPr>
          <w:rFonts w:ascii="Arial" w:cs="Arial" w:eastAsia="Arial" w:hAnsi="Arial"/>
          <w:sz w:val="20"/>
          <w:szCs w:val="20"/>
          <w:rtl w:val="0"/>
        </w:rPr>
        <w:t xml:space="preserve"> O seguro-desemprego do pescador profissional artesanal será concedido para cada período de defeso, mediante requerimento apresentado pelo interessado, nos termos do disposto no art. 5º.</w:t>
      </w:r>
    </w:p>
    <w:p w:rsidR="00000000" w:rsidDel="00000000" w:rsidP="00000000" w:rsidRDefault="00000000" w:rsidRPr="00000000" w14:paraId="0000001F">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2º A concessão do seguro-desemprego dependerá da verificação prévia das informações do beneficiário, por meio de consulta ao Cadastro Nacional de Informações Sociais — CNIS, ao Cadastro de Atividades Econômicas da Pessoa Física — CAEPF e ao Documento de Arrecadação do eSocial — DAE, sem prejuízo da consulta a outras bases e registros governamentais e de outras verificações necessárias à comprovação do cumprimento dos requisitos.</w:t>
      </w:r>
    </w:p>
    <w:p w:rsidR="00000000" w:rsidDel="00000000" w:rsidP="00000000" w:rsidRDefault="00000000" w:rsidRPr="00000000" w14:paraId="00000020">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3º O INSS poderá solicitar à Secretaria Especial da Receita Federal do Brasil do Ministério da Fazenda, nos termos do disposto no </w:t>
      </w:r>
      <w:hyperlink r:id="rId11">
        <w:r w:rsidDel="00000000" w:rsidR="00000000" w:rsidRPr="00000000">
          <w:rPr>
            <w:rFonts w:ascii="Arial" w:cs="Arial" w:eastAsia="Arial" w:hAnsi="Arial"/>
            <w:sz w:val="20"/>
            <w:szCs w:val="20"/>
            <w:rtl w:val="0"/>
          </w:rPr>
          <w:t xml:space="preserve">art. 1º, § 9º, da Lei nº 10.779, de 25 de novembro</w:t>
        </w:r>
      </w:hyperlink>
      <w:r w:rsidDel="00000000" w:rsidR="00000000" w:rsidRPr="00000000">
        <w:rPr>
          <w:rFonts w:ascii="Arial" w:cs="Arial" w:eastAsia="Arial" w:hAnsi="Arial"/>
          <w:sz w:val="20"/>
          <w:szCs w:val="20"/>
          <w:rtl w:val="0"/>
        </w:rPr>
        <w:t xml:space="preserve"> </w:t>
      </w:r>
      <w:hyperlink r:id="rId12">
        <w:r w:rsidDel="00000000" w:rsidR="00000000" w:rsidRPr="00000000">
          <w:rPr>
            <w:rFonts w:ascii="Arial" w:cs="Arial" w:eastAsia="Arial" w:hAnsi="Arial"/>
            <w:sz w:val="20"/>
            <w:szCs w:val="20"/>
            <w:rtl w:val="0"/>
          </w:rPr>
          <w:t xml:space="preserve">de 2003,</w:t>
        </w:r>
      </w:hyperlink>
      <w:r w:rsidDel="00000000" w:rsidR="00000000" w:rsidRPr="00000000">
        <w:rPr>
          <w:rFonts w:ascii="Arial" w:cs="Arial" w:eastAsia="Arial" w:hAnsi="Arial"/>
          <w:sz w:val="20"/>
          <w:szCs w:val="20"/>
          <w:rtl w:val="0"/>
        </w:rPr>
        <w:t xml:space="preserve"> e no </w:t>
      </w:r>
      <w:hyperlink r:id="rId13">
        <w:r w:rsidDel="00000000" w:rsidR="00000000" w:rsidRPr="00000000">
          <w:rPr>
            <w:rFonts w:ascii="Arial" w:cs="Arial" w:eastAsia="Arial" w:hAnsi="Arial"/>
            <w:sz w:val="20"/>
            <w:szCs w:val="20"/>
            <w:rtl w:val="0"/>
          </w:rPr>
          <w:t xml:space="preserve">art. 2º, parágrafo único, da Lei Complementar nº 199, de 1º de agosto</w:t>
        </w:r>
      </w:hyperlink>
      <w:r w:rsidDel="00000000" w:rsidR="00000000" w:rsidRPr="00000000">
        <w:rPr>
          <w:rFonts w:ascii="Arial" w:cs="Arial" w:eastAsia="Arial" w:hAnsi="Arial"/>
          <w:sz w:val="20"/>
          <w:szCs w:val="20"/>
          <w:rtl w:val="0"/>
        </w:rPr>
        <w:t xml:space="preserve"> </w:t>
      </w:r>
      <w:hyperlink r:id="rId14">
        <w:r w:rsidDel="00000000" w:rsidR="00000000" w:rsidRPr="00000000">
          <w:rPr>
            <w:rFonts w:ascii="Arial" w:cs="Arial" w:eastAsia="Arial" w:hAnsi="Arial"/>
            <w:sz w:val="20"/>
            <w:szCs w:val="20"/>
            <w:rtl w:val="0"/>
          </w:rPr>
          <w:t xml:space="preserve">de 2023,</w:t>
        </w:r>
      </w:hyperlink>
      <w:r w:rsidDel="00000000" w:rsidR="00000000" w:rsidRPr="00000000">
        <w:rPr>
          <w:rFonts w:ascii="Arial" w:cs="Arial" w:eastAsia="Arial" w:hAnsi="Arial"/>
          <w:sz w:val="20"/>
          <w:szCs w:val="20"/>
          <w:rtl w:val="0"/>
        </w:rPr>
        <w:t xml:space="preserve"> para confirmar a informação fornecida pelo beneficiário do seguro-desemprego de ausência de fonte de renda diversa da decorrente da atividade pesqueira.</w:t>
      </w:r>
    </w:p>
    <w:p w:rsidR="00000000" w:rsidDel="00000000" w:rsidP="00000000" w:rsidRDefault="00000000" w:rsidRPr="00000000" w14:paraId="00000021">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4º O INSS analisará riscos de fraudes, de irregularidades ou de erros materiais, os quais poderão resultar na notificação do beneficiário para apresentar esclarecimentos ou documentação complementar.” (NR)</w:t>
      </w:r>
    </w:p>
    <w:p w:rsidR="00000000" w:rsidDel="00000000" w:rsidP="00000000" w:rsidRDefault="00000000" w:rsidRPr="00000000" w14:paraId="00000022">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sectPr>
          <w:type w:val="nextPage"/>
          <w:pgSz w:h="16840" w:w="11910" w:orient="portrait"/>
          <w:pgMar w:bottom="1160" w:top="1680" w:left="1275" w:right="992" w:header="0" w:footer="958"/>
        </w:sectPr>
      </w:pPr>
      <w:r w:rsidDel="00000000" w:rsidR="00000000" w:rsidRPr="00000000">
        <w:rPr>
          <w:rFonts w:ascii="Arial" w:cs="Arial" w:eastAsia="Arial" w:hAnsi="Arial"/>
          <w:color w:val="000000"/>
          <w:sz w:val="24"/>
          <w:szCs w:val="24"/>
          <w:rtl w:val="0"/>
        </w:rPr>
        <w:t xml:space="preserve">Estes novos procedimentos, além do uso da biometria para acesso aos cadastros, terminaram por SOBRESTAR os pedidos de seguro-defeso já em andamento. Há de se observar que a primeira parcela do seguro-defeso estuarina é de julho de 2025, enquanto a Lei n. 12.527/25 estabeleceU um lapso de 60 dias para que o INSS, ora Réu, adeque este procedimento.</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Nesse sentido, as Colônias de Pescadores receberam do INSS o seguinte  comunicado:</w:t>
      </w:r>
    </w:p>
    <w:p w:rsidR="00000000" w:rsidDel="00000000" w:rsidP="00000000" w:rsidRDefault="00000000" w:rsidRPr="00000000" w14:paraId="00000025">
      <w:pPr>
        <w:ind w:left="2268" w:firstLine="0"/>
        <w:jc w:val="both"/>
        <w:rPr>
          <w:rFonts w:ascii="Arial" w:cs="Arial" w:eastAsia="Arial" w:hAnsi="Arial"/>
          <w:sz w:val="20"/>
          <w:szCs w:val="20"/>
        </w:rPr>
      </w:pPr>
      <w:r w:rsidDel="00000000" w:rsidR="00000000" w:rsidRPr="00000000">
        <w:rPr>
          <w:rFonts w:ascii="Arial" w:cs="Arial" w:eastAsia="Arial" w:hAnsi="Arial"/>
          <w:color w:val="c90a49"/>
          <w:sz w:val="20"/>
          <w:szCs w:val="20"/>
          <w:rtl w:val="0"/>
        </w:rPr>
        <w:t xml:space="preserve"> </w:t>
      </w:r>
      <w:r w:rsidDel="00000000" w:rsidR="00000000" w:rsidRPr="00000000">
        <w:rPr>
          <w:rFonts w:ascii="Arial" w:cs="Arial" w:eastAsia="Arial" w:hAnsi="Arial"/>
          <w:color w:val="f8302e"/>
          <w:sz w:val="20"/>
          <w:szCs w:val="20"/>
          <w:rtl w:val="0"/>
        </w:rPr>
        <w:t xml:space="preserve">]</w:t>
      </w:r>
      <w:r w:rsidDel="00000000" w:rsidR="00000000" w:rsidRPr="00000000">
        <w:rPr>
          <w:rFonts w:ascii="Arial" w:cs="Arial" w:eastAsia="Arial" w:hAnsi="Arial"/>
          <w:color w:val="202020"/>
          <w:sz w:val="20"/>
          <w:szCs w:val="20"/>
          <w:rtl w:val="0"/>
        </w:rPr>
        <w:t xml:space="preserve">●</w:t>
      </w:r>
      <w:r w:rsidDel="00000000" w:rsidR="00000000" w:rsidRPr="00000000">
        <w:rPr>
          <w:rFonts w:ascii="Arial" w:cs="Arial" w:eastAsia="Arial" w:hAnsi="Arial"/>
          <w:color w:val="d2d2d2"/>
          <w:sz w:val="20"/>
          <w:szCs w:val="20"/>
          <w:rtl w:val="0"/>
        </w:rPr>
        <w:t xml:space="preserve">¦ </w:t>
      </w:r>
      <w:r w:rsidDel="00000000" w:rsidR="00000000" w:rsidRPr="00000000">
        <w:rPr>
          <w:rFonts w:ascii="Arial" w:cs="Arial" w:eastAsia="Arial" w:hAnsi="Arial"/>
          <w:sz w:val="20"/>
          <w:szCs w:val="20"/>
          <w:rtl w:val="0"/>
        </w:rPr>
        <w:t xml:space="preserve">*COMUNICADO IMPORTANTE*</w:t>
      </w:r>
    </w:p>
    <w:p w:rsidR="00000000" w:rsidDel="00000000" w:rsidP="00000000" w:rsidRDefault="00000000" w:rsidRPr="00000000" w14:paraId="00000026">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Prezados(as),</w:t>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8">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Informamos que, conforme o Ofício Circular Conjunto nº 4/2025 da Diretoria de Benefícios e Relacionamento com o Cidadão e da Presidência do INSS, os requerimentos do benefício de Seguro-Desemprego do Pescador Artesanal (SDPA), </w:t>
      </w:r>
      <w:r w:rsidDel="00000000" w:rsidR="00000000" w:rsidRPr="00000000">
        <w:rPr>
          <w:rFonts w:ascii="Arial" w:cs="Arial" w:eastAsia="Arial" w:hAnsi="Arial"/>
          <w:b w:val="1"/>
          <w:bCs w:val="1"/>
          <w:sz w:val="20"/>
          <w:szCs w:val="20"/>
          <w:rtl w:val="0"/>
        </w:rPr>
        <w:t xml:space="preserve">protocolados a partir de 11 de junho de 2025, deverão permanecer sobrestados.</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A">
      <w:pPr>
        <w:ind w:left="2268" w:firstLine="0"/>
        <w:jc w:val="both"/>
        <w:rPr>
          <w:rFonts w:ascii="Arial" w:cs="Arial" w:eastAsia="Arial" w:hAnsi="Arial"/>
          <w:b w:val="1"/>
          <w:bCs w:val="1"/>
          <w:sz w:val="20"/>
          <w:szCs w:val="20"/>
        </w:rPr>
      </w:pPr>
      <w:r w:rsidDel="00000000" w:rsidR="00000000" w:rsidRPr="00000000">
        <w:rPr>
          <w:rFonts w:ascii="Arial" w:cs="Arial" w:eastAsia="Arial" w:hAnsi="Arial"/>
          <w:color w:val="f8302e"/>
          <w:sz w:val="20"/>
          <w:szCs w:val="20"/>
          <w:rtl w:val="0"/>
        </w:rPr>
        <w:t xml:space="preserve">’</w:t>
      </w:r>
      <w:r w:rsidDel="00000000" w:rsidR="00000000" w:rsidRPr="00000000">
        <w:rPr>
          <w:rFonts w:ascii="Arial" w:cs="Arial" w:eastAsia="Arial" w:hAnsi="Arial"/>
          <w:color w:val="c90a49"/>
          <w:sz w:val="20"/>
          <w:szCs w:val="20"/>
          <w:rtl w:val="0"/>
        </w:rPr>
        <w:t xml:space="preserve">‘</w:t>
      </w:r>
      <w:r w:rsidDel="00000000" w:rsidR="00000000" w:rsidRPr="00000000">
        <w:rPr>
          <w:rFonts w:ascii="Arial" w:cs="Arial" w:eastAsia="Arial" w:hAnsi="Arial"/>
          <w:sz w:val="20"/>
          <w:szCs w:val="20"/>
          <w:rtl w:val="0"/>
        </w:rPr>
        <w:t xml:space="preserve">Essa medida se deve </w:t>
      </w:r>
      <w:r w:rsidDel="00000000" w:rsidR="00000000" w:rsidRPr="00000000">
        <w:rPr>
          <w:rFonts w:ascii="Arial" w:cs="Arial" w:eastAsia="Arial" w:hAnsi="Arial"/>
          <w:b w:val="1"/>
          <w:bCs w:val="1"/>
          <w:sz w:val="20"/>
          <w:szCs w:val="20"/>
          <w:rtl w:val="0"/>
        </w:rPr>
        <w:t xml:space="preserve">à necessidade de ajustes nos sistemas do INSS para adequação às novas exigências legais trazidas pela Medida Provisória nº 1.303/2025 e pelo Decreto nº 12.527/2025.</w:t>
      </w:r>
    </w:p>
    <w:p w:rsidR="00000000" w:rsidDel="00000000" w:rsidP="00000000" w:rsidRDefault="00000000" w:rsidRPr="00000000" w14:paraId="0000002B">
      <w:pPr>
        <w:ind w:left="2268" w:firstLine="0"/>
        <w:jc w:val="both"/>
        <w:rPr>
          <w:rFonts w:ascii="Arial" w:cs="Arial" w:eastAsia="Arial" w:hAnsi="Arial"/>
          <w:sz w:val="20"/>
          <w:szCs w:val="20"/>
        </w:rPr>
      </w:pPr>
      <w:r w:rsidDel="00000000" w:rsidR="00000000" w:rsidRPr="00000000">
        <w:rPr>
          <w:rFonts w:ascii="Arial" w:cs="Arial" w:eastAsia="Arial" w:hAnsi="Arial"/>
          <w:color w:val="f3edf8"/>
          <w:sz w:val="20"/>
          <w:szCs w:val="20"/>
          <w:rtl w:val="0"/>
        </w:rPr>
        <w:t xml:space="preserve">)</w:t>
      </w:r>
      <w:r w:rsidDel="00000000" w:rsidR="00000000" w:rsidRPr="00000000">
        <w:rPr>
          <w:rFonts w:ascii="Arial" w:cs="Arial" w:eastAsia="Arial" w:hAnsi="Arial"/>
          <w:color w:val="ffce7b"/>
          <w:sz w:val="20"/>
          <w:szCs w:val="20"/>
          <w:rtl w:val="0"/>
        </w:rPr>
        <w:t xml:space="preserve"> </w:t>
      </w:r>
      <w:r w:rsidDel="00000000" w:rsidR="00000000" w:rsidRPr="00000000">
        <w:rPr>
          <w:rFonts w:ascii="Arial" w:cs="Arial" w:eastAsia="Arial" w:hAnsi="Arial"/>
          <w:color w:val="cdc4d5"/>
          <w:sz w:val="20"/>
          <w:szCs w:val="20"/>
          <w:rtl w:val="0"/>
        </w:rPr>
        <w:t xml:space="preserve">‘</w:t>
      </w:r>
      <w:r w:rsidDel="00000000" w:rsidR="00000000" w:rsidRPr="00000000">
        <w:rPr>
          <w:rFonts w:ascii="Arial" w:cs="Arial" w:eastAsia="Arial" w:hAnsi="Arial"/>
          <w:color w:val="402a31"/>
          <w:sz w:val="20"/>
          <w:szCs w:val="20"/>
          <w:rtl w:val="0"/>
        </w:rPr>
        <w:t xml:space="preserve">¸</w:t>
      </w:r>
      <w:r w:rsidDel="00000000" w:rsidR="00000000" w:rsidRPr="00000000">
        <w:rPr>
          <w:rFonts w:ascii="Arial" w:cs="Arial" w:eastAsia="Arial" w:hAnsi="Arial"/>
          <w:sz w:val="20"/>
          <w:szCs w:val="20"/>
          <w:rtl w:val="0"/>
        </w:rPr>
        <w:t xml:space="preserve">Entre as novas exigências para concessão do benefício, destacam-se: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tabs>
          <w:tab w:val="left" w:leader="none" w:pos="601"/>
        </w:tabs>
        <w:ind w:left="2268"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Obrigatoriedade da Carteira de Identidade Nacional (CIN);</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tabs>
          <w:tab w:val="left" w:leader="none" w:pos="637"/>
        </w:tabs>
        <w:ind w:left="2268"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Obrigatoriedade de inscrição no CAEPF (Cadastro de Atividades Econômicas da Pessoa Física);</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tabs>
          <w:tab w:val="left" w:leader="none" w:pos="606"/>
        </w:tabs>
        <w:ind w:left="2268"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Recolhimento mensal de contribuição sobre a comercialização da produção durante todo o período aquisitivo.</w:t>
      </w:r>
    </w:p>
    <w:p w:rsidR="00000000" w:rsidDel="00000000" w:rsidP="00000000" w:rsidRDefault="00000000" w:rsidRPr="00000000" w14:paraId="0000002F">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ı</w:t>
      </w:r>
      <w:r w:rsidDel="00000000" w:rsidR="00000000" w:rsidRPr="00000000">
        <w:rPr>
          <w:rFonts w:ascii="Arial" w:cs="Arial" w:eastAsia="Arial" w:hAnsi="Arial"/>
          <w:color w:val="ffaf2d"/>
          <w:sz w:val="20"/>
          <w:szCs w:val="20"/>
          <w:rtl w:val="0"/>
        </w:rPr>
        <w:t xml:space="preserve"> </w:t>
      </w:r>
      <w:r w:rsidDel="00000000" w:rsidR="00000000" w:rsidRPr="00000000">
        <w:rPr>
          <w:rFonts w:ascii="Arial" w:cs="Arial" w:eastAsia="Arial" w:hAnsi="Arial"/>
          <w:sz w:val="20"/>
          <w:szCs w:val="20"/>
          <w:rtl w:val="0"/>
        </w:rPr>
        <w:t xml:space="preserve">. Os requerimentos protocolados até 10 de junho de 2025 devem seguir normalmente, conforme as regras anteriores.</w:t>
      </w:r>
    </w:p>
    <w:p w:rsidR="00000000" w:rsidDel="00000000" w:rsidP="00000000" w:rsidRDefault="00000000" w:rsidRPr="00000000" w14:paraId="00000030">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1">
      <w:pPr>
        <w:ind w:left="2268" w:firstLine="0"/>
        <w:jc w:val="both"/>
        <w:rPr>
          <w:rFonts w:ascii="Arial" w:cs="Arial" w:eastAsia="Arial" w:hAnsi="Arial"/>
          <w:sz w:val="20"/>
          <w:szCs w:val="20"/>
        </w:rPr>
      </w:pPr>
      <w:r w:rsidDel="00000000" w:rsidR="00000000" w:rsidRPr="00000000">
        <w:rPr>
          <w:rFonts w:ascii="Fira Mono" w:cs="Fira Mono" w:eastAsia="Fira Mono" w:hAnsi="Fira Mono"/>
          <w:color w:val="00a6ec"/>
          <w:sz w:val="20"/>
          <w:szCs w:val="20"/>
          <w:rtl w:val="0"/>
        </w:rPr>
        <w:t xml:space="preserve">⬛</w:t>
      </w:r>
      <w:r w:rsidDel="00000000" w:rsidR="00000000" w:rsidRPr="00000000">
        <w:rPr>
          <w:rFonts w:ascii="Arial" w:cs="Arial" w:eastAsia="Arial" w:hAnsi="Arial"/>
          <w:color w:val="ffffff"/>
          <w:sz w:val="20"/>
          <w:szCs w:val="20"/>
          <w:rtl w:val="0"/>
        </w:rPr>
        <w:t xml:space="preserve">–</w:t>
      </w:r>
      <w:r w:rsidDel="00000000" w:rsidR="00000000" w:rsidRPr="00000000">
        <w:rPr>
          <w:rFonts w:ascii="Arial" w:cs="Arial" w:eastAsia="Arial" w:hAnsi="Arial"/>
          <w:sz w:val="20"/>
          <w:szCs w:val="20"/>
          <w:rtl w:val="0"/>
        </w:rPr>
        <w:t xml:space="preserve">Novas orientações serão divulgadas assim que os ajustes sistêmicos forem concluídos.</w:t>
      </w:r>
    </w:p>
    <w:p w:rsidR="00000000" w:rsidDel="00000000" w:rsidP="00000000" w:rsidRDefault="00000000" w:rsidRPr="00000000" w14:paraId="00000032">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Atenciosamente, COREC/COBEN SRSUL (grifo nosso)</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Há simplesmente um mar de incertezas neste procedimento. Isso porque não há qualquer possibilidade de os entes envolvidos equacionarem esta questão. Sejam as Prefeituras Municipais, que passarão a avalizar os RGPs, sejam as Colônias de Pesca, que alteraram os procedimentos, ou sejam os próprios pescadores e pescadoras que não possuem, historicamente, conhecimento informacional para realização da biometria e do cadastro no CAEPF.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certo que os SEGUROS-DEFESO relativos ao ano de 2025 não poderão seguir esta normativa, sob pena de inviabilizar o recebimento do SEGURO-DEFESO justamente na época devida.Tal situação obrigou o(a) pescador(a) a ingressar com a presente ação buscando a concessão da quarta e última parcelaa seguro-defeso de 2025, ainda não satisfeita pelo Réu.</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7">
      <w:pPr>
        <w:pStyle w:val="Heading1"/>
        <w:tabs>
          <w:tab w:val="left" w:leader="none" w:pos="752"/>
        </w:tabs>
        <w:ind w:left="0" w:firstLine="851"/>
        <w:jc w:val="both"/>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Somente a título de argumento, os autores e autoras protocolizaram seus pedidos em maio ou junho de 2025, estando já há quase UM ANO sem o recebimento desta verba alimentar essencial, diante da proibição da pesca nestes quatro meses de defeso.</w:t>
      </w:r>
    </w:p>
    <w:p w:rsidR="00000000" w:rsidDel="00000000" w:rsidP="00000000" w:rsidRDefault="00000000" w:rsidRPr="00000000" w14:paraId="00000038">
      <w:pPr>
        <w:pStyle w:val="Heading1"/>
        <w:tabs>
          <w:tab w:val="left" w:leader="none" w:pos="752"/>
        </w:tabs>
        <w:ind w:left="0" w:firstLine="851"/>
        <w:jc w:val="both"/>
        <w:rPr>
          <w:rFonts w:ascii="Arial" w:cs="Arial" w:eastAsia="Arial" w:hAnsi="Arial"/>
          <w:b w:val="0"/>
          <w:bCs w:val="0"/>
          <w:sz w:val="24"/>
          <w:szCs w:val="24"/>
        </w:rPr>
      </w:pPr>
      <w:r w:rsidDel="00000000" w:rsidR="00000000" w:rsidRPr="00000000">
        <w:rPr>
          <w:rtl w:val="0"/>
        </w:rPr>
      </w:r>
    </w:p>
    <w:p w:rsidR="00000000" w:rsidDel="00000000" w:rsidP="00000000" w:rsidRDefault="00000000" w:rsidRPr="00000000" w14:paraId="00000039">
      <w:pPr>
        <w:pStyle w:val="Heading1"/>
        <w:tabs>
          <w:tab w:val="left" w:leader="none" w:pos="752"/>
        </w:tabs>
        <w:ind w:left="0" w:firstLine="851"/>
        <w:jc w:val="both"/>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Resta de todo inexplicável como os pescadores e pescadoras tenham sido considerados como segurados especiais, nesta condição, até a terceira parcela, com a sonegação da quarta parcela do defeso de 2025.</w:t>
      </w:r>
    </w:p>
    <w:p w:rsidR="00000000" w:rsidDel="00000000" w:rsidP="00000000" w:rsidRDefault="00000000" w:rsidRPr="00000000" w14:paraId="0000003A">
      <w:pPr>
        <w:pStyle w:val="Heading1"/>
        <w:tabs>
          <w:tab w:val="left" w:leader="none" w:pos="752"/>
        </w:tabs>
        <w:ind w:left="0" w:firstLine="0"/>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3B">
      <w:pPr>
        <w:pStyle w:val="Heading1"/>
        <w:tabs>
          <w:tab w:val="left" w:leader="none" w:pos="752"/>
        </w:tabs>
        <w:ind w:left="0" w:firstLine="0"/>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tabs>
          <w:tab w:val="left" w:leader="none" w:pos="752"/>
        </w:tabs>
        <w:ind w:left="0" w:firstLine="0"/>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3F">
      <w:pPr>
        <w:pStyle w:val="Heading1"/>
        <w:tabs>
          <w:tab w:val="left" w:leader="none" w:pos="752"/>
        </w:tabs>
        <w:ind w:lef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2. DOS FUNDAMENTOS</w:t>
      </w:r>
    </w:p>
    <w:p w:rsidR="00000000" w:rsidDel="00000000" w:rsidP="00000000" w:rsidRDefault="00000000" w:rsidRPr="00000000" w14:paraId="00000040">
      <w:pPr>
        <w:pStyle w:val="Heading1"/>
        <w:tabs>
          <w:tab w:val="left" w:leader="none" w:pos="752"/>
        </w:tabs>
        <w:ind w:left="0" w:firstLine="0"/>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41">
      <w:pPr>
        <w:pStyle w:val="Heading1"/>
        <w:tabs>
          <w:tab w:val="left" w:leader="none" w:pos="752"/>
        </w:tabs>
        <w:ind w:left="0" w:firstLine="0"/>
        <w:jc w:val="both"/>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2.1. DO SEGURO-DEFESO COMO FORMA DE MANUTENÇÃO DAS COMUNIDADES TRADICIONAIS QUANDO DO DEFESO</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321"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Constituição Federal de 1988 estabelece em seu Art. 225, o meio ambiente ecologicamente equilibrado como um direito de todos e </w:t>
      </w:r>
      <w:r w:rsidDel="00000000" w:rsidR="00000000" w:rsidRPr="00000000">
        <w:rPr>
          <w:rFonts w:ascii="Arial" w:cs="Arial" w:eastAsia="Arial" w:hAnsi="Arial"/>
          <w:i w:val="1"/>
          <w:iCs w:val="1"/>
          <w:color w:val="000000"/>
          <w:sz w:val="24"/>
          <w:szCs w:val="24"/>
          <w:rtl w:val="0"/>
        </w:rPr>
        <w:t xml:space="preserve">“bem de uso comum do povo e essencial à sadia qualidade de vida, impondo-se ao Poder Público e à coletividade o dever de defendê-lo e preservá-lo para as presentes e futuras gerações”</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 relação às comunidades tradicionais e aos pescadores e pescadoras que se dedicam à pesca artesanal, como é o caso vertente dos autos, estas também devem ter seus direitos assegurados por normas e políticas específicas em diversos níveis, anacional e internacional. Dentre as normas internacionais, há a Convenção n° 169 - Sobre Povos Indígenas e Tribais, da Organização Internacional do Trabalho (OIT), da qual o Brasil é signatário, promulgada no país, através do Decreto-Lei 5051/2004. Em seu Artigo 4º, a OIT 169 determina que: “1. Deverão ser adotadas as medidas especiais que sejam necessárias para salvaguardar as pessoas, as instituições, os bens, as culturas e o meio ambiente dos povos interessados”, e que “2. Tais medidas especiais não deverão ser contrárias aos desejos expressos livremente pelos povos interessados”.</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Brasil através do Decreto 6.040, de 7 de fevereiro de 2007, instituiu a Política Nacional de Desenvolvimento Sustentável dos Povos e Comunidades Tradicionais (PNPCT). Conforme o Artigo 3º desse decreto, compreende-se por Povos e Comunidades Tradicionais: “Grupos culturalmente diferenciados e que se reconhecem como tais, que possuem formas próprias de organização social, que ocupam e usam territórios e recursos naturais como condição para sua reprodução cultural, social, religiosa, ancestral e econômica, utilizando conhecimentos, inovações e práticas gerados e transmitidos pela tradição” (BRASIL, 2007).</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0"/>
          <w:szCs w:val="20"/>
        </w:rPr>
      </w:pPr>
      <w:r w:rsidDel="00000000" w:rsidR="00000000" w:rsidRPr="00000000">
        <w:rPr>
          <w:rFonts w:ascii="Arial" w:cs="Arial" w:eastAsia="Arial" w:hAnsi="Arial"/>
          <w:color w:val="000000"/>
          <w:sz w:val="24"/>
          <w:szCs w:val="24"/>
          <w:rtl w:val="0"/>
        </w:rPr>
        <w:t xml:space="preserve">Dentre os objetivos da PNPCT, cabe destacar: “I - garantir aos povos e comunidades tradicionais seus territórios, e o acesso aos recursos naturais que tradicionalmente utilizam para sua reprodução física, cultural e econômica” (BRASIL, 2007). Ademais, em seu Artigo 1º a PNPCT, estabelece que ações e atividades voltadas para o alcance dos seus objetivos, deverão ocorrer de forma intersetorial, integrada, coordenada, sistemática e observando dentre outros, os seguintes princípios:</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V - o desenvolvimento sustentável como promoção da melhoria da qualidade de vida dos povos e comunidades tradicionais nas gerações atuais, garantindo as mesmas possibilidades para as gerações futuras e respeitando os seus modos de vida e as suas tradições; [...] </w:t>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IX - a articulação com as demais políticas públicas relacionadas aos direitos dos Povos e Comunidades Tradicionais nas diferentes esferas de governo; </w:t>
      </w:r>
    </w:p>
    <w:p w:rsidR="00000000" w:rsidDel="00000000" w:rsidP="00000000" w:rsidRDefault="00000000" w:rsidRPr="00000000" w14:paraId="0000004A">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X - a promoção dos meios necessários para a efetiva participação dos Povos e Comunidades Tradicionais nas instâncias de controle social e nos processos decisórios relacionados aos seus direitos e interesses (BRASIL, 2007).</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360" w:lineRule="auto"/>
        <w:ind w:left="2268"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Foi buscando manter a tradicionalidade e sobrevivência destas comunidades  tradicionais de  pesca,  protegidas  internacionalmente e pelo regramento pátrio, como vimos, que foi instituído o SEGURO-DEFESO para que, justamente nas épocas em que não podem exercer esta atividade, possam ter um subsidio governamental para se manterem. Não é a esmo que as multas ambientais e as penalidades são severas quando os(as) pescadores(as) exercem seus misteres quando da época de reprodução das espécies. O coletivo destas comunidades tem plena consciência disso, até por saberem, secularmente, que da existência das espécies dependem suas subsistências materiais.</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 caso das comunidades estuarinas, que se situam ao largo da Lagoa dos Patos no Rio Grande do Sul, dependendo dela para proverem suas subsistências, as parcelas oriundas do SEGURO-DEFESO possuem uma conotação mais expressiva depois das enchentes de 2023 e de junho de 2024. Além de terem perdido seus petrechos de pesca, incluindo bens móveis e imóveis, permaneceram por um longo período sem exercer suas atividades diante das condições climática adversas.</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Soma-se a isso o fato de os dois salários-mínimos, previstos na MP n. 1230 e 1234, não terem sido alcançados aos trabalhadores e trabalhadoras na pesca artesanal do Estuário da Lagoa dos Patos, vez que coincidiu quando a data do defeso de 2024. Desse modo, o atraso no pagamento das parcelas do SEGURO-DEFESO implica na própria manutenção da subsistência e a dignidade humana destes pescadores e pescadoras. Fato este inadmissível!</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1">
      <w:pPr>
        <w:pStyle w:val="Heading1"/>
        <w:tabs>
          <w:tab w:val="left" w:leader="none" w:pos="1931"/>
          <w:tab w:val="left" w:leader="none" w:pos="2875"/>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2.2 DA NÃO OBSERVÂNCIA DO PRAZO DE 30 DIAS PREVISTO NO ART. 49 DA LEI N. 9784/99</w:t>
      </w:r>
    </w:p>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360" w:lineRule="auto"/>
        <w:ind w:firstLine="707"/>
        <w:jc w:val="both"/>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Não há dúvidas de que o pedido do SEGURO-DEFESO é um processo administrativo, regularmente processado perante o Instituto Nacional do Seguro Social – INSS, que é o Órgão Gestor desta verba e Réu na presente ação. Portanto, como todo ato administrativo está sujeito à Lei n. 9784/99, que rege o processo administrativo, cujo prazo para a outorga (ou não) do direito vindicado pelo jurisdicionado é de 30 dias, podendo ser prorrogado por igual período caso seja justificado o motivo.</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sz w:val="24"/>
          <w:szCs w:val="24"/>
          <w:rtl w:val="0"/>
        </w:rPr>
        <w:t xml:space="preserve">Vejamos:</w:t>
      </w:r>
      <w:r w:rsidDel="00000000" w:rsidR="00000000" w:rsidRPr="00000000">
        <w:rPr>
          <w:rtl w:val="0"/>
        </w:rPr>
      </w:r>
    </w:p>
    <w:p w:rsidR="00000000" w:rsidDel="00000000" w:rsidP="00000000" w:rsidRDefault="00000000" w:rsidRPr="00000000" w14:paraId="00000054">
      <w:pPr>
        <w:ind w:left="2268"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 48. A Administração tem o dever de explicitamente emitir decisão nos processos administrativos e sobre solicitações ou reclamações, em matéria de sua competência.</w:t>
      </w:r>
    </w:p>
    <w:p w:rsidR="00000000" w:rsidDel="00000000" w:rsidP="00000000" w:rsidRDefault="00000000" w:rsidRPr="00000000" w14:paraId="00000056">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 49. Concluída a instrução de processo administrativo, a Administração tem o prazo de até trinta dias para decidir, salvo prorrogação por igual período expressamente motivada.</w:t>
      </w:r>
    </w:p>
    <w:p w:rsidR="00000000" w:rsidDel="00000000" w:rsidP="00000000" w:rsidRDefault="00000000" w:rsidRPr="00000000" w14:paraId="00000057">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p w:rsidR="00000000" w:rsidDel="00000000" w:rsidP="00000000" w:rsidRDefault="00000000" w:rsidRPr="00000000" w14:paraId="00000058">
      <w:pPr>
        <w:spacing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Desse modo, não há qualquer justificativa que possa postergar a satisfação das quatro parcelas do defeso de 2025, mormente quando preenchem todas as condições para recebimento desta verba alimentar.</w:t>
      </w:r>
    </w:p>
    <w:p w:rsidR="00000000" w:rsidDel="00000000" w:rsidP="00000000" w:rsidRDefault="00000000" w:rsidRPr="00000000" w14:paraId="00000059">
      <w:pPr>
        <w:spacing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efeito, não pode não pode as novas diretrizes trazidas pela Lei n. 12.527/25 serem aplicadas aos pedidos de defeso referente ao ano de 2025. </w:t>
      </w:r>
    </w:p>
    <w:p w:rsidR="00000000" w:rsidDel="00000000" w:rsidP="00000000" w:rsidRDefault="00000000" w:rsidRPr="00000000" w14:paraId="0000005A">
      <w:pPr>
        <w:spacing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Considerando-se, ainda, a aplicação supletiva e subsidiária do CPC ao Processo Administrativo (Art. 15, CPC), a inteligência do art. 14, CPC, é clara no sentido de que “A norma processual não retroagirá e será aplicável imediatamente aos processos em curso, respeitados os atos processuais praticados e as situações jurídicas consolidadas sob a vigência da norma revogada”. Nesse sentido, tem prevalecido o entendimento da adoção da chamada </w:t>
      </w:r>
      <w:r w:rsidDel="00000000" w:rsidR="00000000" w:rsidRPr="00000000">
        <w:rPr>
          <w:rFonts w:ascii="Arial" w:cs="Arial" w:eastAsia="Arial" w:hAnsi="Arial"/>
          <w:b w:val="1"/>
          <w:bCs w:val="1"/>
          <w:sz w:val="24"/>
          <w:szCs w:val="24"/>
          <w:rtl w:val="0"/>
        </w:rPr>
        <w:t xml:space="preserve">teoria dos atos processuais isolados</w:t>
      </w:r>
      <w:r w:rsidDel="00000000" w:rsidR="00000000" w:rsidRPr="00000000">
        <w:rPr>
          <w:rFonts w:ascii="Arial" w:cs="Arial" w:eastAsia="Arial" w:hAnsi="Arial"/>
          <w:sz w:val="24"/>
          <w:szCs w:val="24"/>
          <w:rtl w:val="0"/>
        </w:rPr>
        <w:t xml:space="preserve"> (também conhecida como teoria do isolamento dos atos processuais). O STJ, em precedente:</w:t>
      </w:r>
    </w:p>
    <w:p w:rsidR="00000000" w:rsidDel="00000000" w:rsidP="00000000" w:rsidRDefault="00000000" w:rsidRPr="00000000" w14:paraId="0000005B">
      <w:pPr>
        <w:spacing w:line="360" w:lineRule="auto"/>
        <w:ind w:left="2268"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C">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PROCESSO CIVIL. RECURSO ESPECIAL. CUMPRIMENTO DE SENTENÇA. PRAZO PARA OFERECIMENTO DE IMPUGNAÇÃO. TERMO INICIAL. DATA DO DEPÓSITO JUDICIAL. VIOLAÇÃO DO ART. 535, NÃO CONFIGURADA. 1. Não ocorre violação ao art. 535 do CPC quando o Juízo, embora de forma sucinta, aprecia fundamentadamente todas as questões relevantes ao deslinde do feito. Precedentes. </w:t>
      </w:r>
      <w:r w:rsidDel="00000000" w:rsidR="00000000" w:rsidRPr="00000000">
        <w:rPr>
          <w:rFonts w:ascii="Arial" w:cs="Arial" w:eastAsia="Arial" w:hAnsi="Arial"/>
          <w:b w:val="1"/>
          <w:bCs w:val="1"/>
          <w:sz w:val="20"/>
          <w:szCs w:val="20"/>
          <w:rtl w:val="0"/>
        </w:rPr>
        <w:t xml:space="preserve">2. No que tange à eficácia da lei processual no tempo, o direito processual civil orienta- se pela regra do isolamento dos atos processuais, segundo a qual a lei nova é aplicada aos atos pendentes, tão logo entre em vigor, respeitados os atos já praticados e seus efeitos, nos termos do art. 1.211 do CPC (princípio do tempus regit actum).</w:t>
      </w:r>
      <w:r w:rsidDel="00000000" w:rsidR="00000000" w:rsidRPr="00000000">
        <w:rPr>
          <w:rFonts w:ascii="Arial" w:cs="Arial" w:eastAsia="Arial" w:hAnsi="Arial"/>
          <w:sz w:val="20"/>
          <w:szCs w:val="20"/>
          <w:rtl w:val="0"/>
        </w:rPr>
        <w:t xml:space="preserve"> Precedentes. (STJ, Relator Luis Felipe Salomão, REsp 965475/ SP, grifo nosso)</w:t>
      </w:r>
    </w:p>
    <w:p w:rsidR="00000000" w:rsidDel="00000000" w:rsidP="00000000" w:rsidRDefault="00000000" w:rsidRPr="00000000" w14:paraId="0000005D">
      <w:pPr>
        <w:spacing w:line="360" w:lineRule="auto"/>
        <w:ind w:left="2268" w:firstLine="85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pacing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Assim, no tocante à modificação de normas processuais, aplicam-se as regras do direito processual intertemporal. Logo, pedidos protocolados à vigência da norma anterior e cujos pedidos já tiveram sua análise solicitada no tempo correto para o enquadramento na lei antiga, devem ser por ela processados.</w:t>
      </w:r>
    </w:p>
    <w:p w:rsidR="00000000" w:rsidDel="00000000" w:rsidP="00000000" w:rsidRDefault="00000000" w:rsidRPr="00000000" w14:paraId="0000005F">
      <w:pPr>
        <w:spacing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Projeto Atendendo ao Povo das Águas (SISPROJ/FADIR/FURG, n. 2175), já obteve mais de quinhentos processos procedentes, conforme se percebe do julgado abaixo colacionado:</w:t>
      </w:r>
    </w:p>
    <w:p w:rsidR="00000000" w:rsidDel="00000000" w:rsidP="00000000" w:rsidRDefault="00000000" w:rsidRPr="00000000" w14:paraId="00000060">
      <w:pPr>
        <w:spacing w:line="360" w:lineRule="auto"/>
        <w:ind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spacing w:line="360" w:lineRule="auto"/>
        <w:ind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spacing w:line="360" w:lineRule="auto"/>
        <w:ind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92" w:before="240" w:line="240" w:lineRule="auto"/>
        <w:ind w:left="0" w:right="0" w:firstLine="0"/>
        <w:jc w:val="left"/>
        <w:rPr>
          <w:rFonts w:ascii="Times New Roman" w:cs="Times New Roman" w:eastAsia="Times New Roman" w:hAnsi="Times New Roman"/>
          <w:b w:val="1"/>
          <w:bCs w:val="1"/>
          <w:i w:val="0"/>
          <w:iCs w:val="0"/>
          <w:smallCaps w:val="1"/>
          <w:strike w:val="0"/>
          <w:color w:val="05222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52229"/>
          <w:sz w:val="24"/>
          <w:szCs w:val="24"/>
          <w:u w:val="none"/>
          <w:shd w:fill="auto" w:val="clear"/>
          <w:vertAlign w:val="baseline"/>
          <w:rtl w:val="0"/>
        </w:rPr>
        <w:t xml:space="preserve">PROCEDIMENTO DO JUIZADO ESPECIAL CÍVEL Nº 5008255-70.2025.4.04.7101/RS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5222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52229"/>
          <w:sz w:val="20"/>
          <w:szCs w:val="20"/>
          <w:u w:val="none"/>
          <w:shd w:fill="auto" w:val="clear"/>
          <w:vertAlign w:val="baseline"/>
          <w:rtl w:val="0"/>
        </w:rPr>
        <w:t xml:space="preserve">AUTOR</w:t>
      </w:r>
      <w:r w:rsidDel="00000000" w:rsidR="00000000" w:rsidRPr="00000000">
        <w:rPr>
          <w:rFonts w:ascii="Times New Roman" w:cs="Times New Roman" w:eastAsia="Times New Roman" w:hAnsi="Times New Roman"/>
          <w:b w:val="0"/>
          <w:bCs w:val="0"/>
          <w:i w:val="0"/>
          <w:iCs w:val="0"/>
          <w:smallCaps w:val="0"/>
          <w:strike w:val="0"/>
          <w:color w:val="052229"/>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1"/>
          <w:strike w:val="0"/>
          <w:color w:val="052229"/>
          <w:sz w:val="20"/>
          <w:szCs w:val="20"/>
          <w:u w:val="none"/>
          <w:shd w:fill="auto" w:val="clear"/>
          <w:vertAlign w:val="baseline"/>
          <w:rtl w:val="0"/>
        </w:rPr>
        <w:t xml:space="preserve">LUIZ FELIPE AMARAL CAMINHA</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5222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52229"/>
          <w:sz w:val="20"/>
          <w:szCs w:val="20"/>
          <w:u w:val="none"/>
          <w:shd w:fill="auto" w:val="clear"/>
          <w:vertAlign w:val="baseline"/>
          <w:rtl w:val="0"/>
        </w:rPr>
        <w:t xml:space="preserve">RÉU</w:t>
      </w:r>
      <w:r w:rsidDel="00000000" w:rsidR="00000000" w:rsidRPr="00000000">
        <w:rPr>
          <w:rFonts w:ascii="Times New Roman" w:cs="Times New Roman" w:eastAsia="Times New Roman" w:hAnsi="Times New Roman"/>
          <w:b w:val="0"/>
          <w:bCs w:val="0"/>
          <w:i w:val="0"/>
          <w:iCs w:val="0"/>
          <w:smallCaps w:val="0"/>
          <w:strike w:val="0"/>
          <w:color w:val="052229"/>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1"/>
          <w:strike w:val="0"/>
          <w:color w:val="052229"/>
          <w:sz w:val="20"/>
          <w:szCs w:val="20"/>
          <w:u w:val="none"/>
          <w:shd w:fill="auto" w:val="clear"/>
          <w:vertAlign w:val="baseline"/>
          <w:rtl w:val="0"/>
        </w:rPr>
        <w:t xml:space="preserve">INSTITUTO NACIONAL DO SEGURO SOCIAL - INSS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0"/>
          <w:iCs w:val="0"/>
          <w:smallCaps w:val="1"/>
          <w:strike w:val="0"/>
          <w:color w:val="05222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52229"/>
          <w:sz w:val="32"/>
          <w:szCs w:val="32"/>
          <w:u w:val="none"/>
          <w:shd w:fill="auto" w:val="clear"/>
          <w:vertAlign w:val="baseline"/>
          <w:rtl w:val="0"/>
        </w:rPr>
        <w:t xml:space="preserve">SENTENÇA</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2229"/>
          <w:sz w:val="26"/>
          <w:szCs w:val="26"/>
          <w:u w:val="none"/>
          <w:shd w:fill="auto" w:val="clear"/>
          <w:vertAlign w:val="baseline"/>
          <w:rtl w:val="0"/>
        </w:rPr>
        <w:t xml:space="preserve">I. Fundamentação</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Pretende o(a) autor(a) o recebimento da última parcela do seguro-defeso de 2025 (</w:t>
      </w:r>
      <w:hyperlink r:id="rId15">
        <w:r w:rsidDel="00000000" w:rsidR="00000000" w:rsidRPr="00000000">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tl w:val="0"/>
          </w:rPr>
          <w:t xml:space="preserve">evento 1, INIC1</w:t>
        </w:r>
      </w:hyperlink>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2229"/>
          <w:sz w:val="26"/>
          <w:szCs w:val="26"/>
          <w:u w:val="none"/>
          <w:shd w:fill="auto" w:val="clear"/>
          <w:vertAlign w:val="baseline"/>
          <w:rtl w:val="0"/>
        </w:rPr>
        <w:t xml:space="preserve">Preliminares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2229"/>
          <w:sz w:val="26"/>
          <w:szCs w:val="26"/>
          <w:u w:val="none"/>
          <w:shd w:fill="auto" w:val="clear"/>
          <w:vertAlign w:val="baseline"/>
          <w:rtl w:val="0"/>
        </w:rPr>
        <w:t xml:space="preserve">Da ilegitimidade passiva do INSS</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De acordo com a parte ré, o INSS não teria competência para quitar a última parcela do benefício, uma vez que o Governo Federal publicou a </w:t>
      </w:r>
      <w:hyperlink r:id="rId16">
        <w:r w:rsidDel="00000000" w:rsidR="00000000" w:rsidRPr="00000000">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tl w:val="0"/>
          </w:rPr>
          <w:t xml:space="preserve">Medida Provisória (MP) 1.323, de 4 de novembro de 2025</w:t>
        </w:r>
      </w:hyperlink>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que transferiu a gestão do Seguro-Desemprego do Pescador Artesanal (SDPA) para o Ministério do Trabalho e Emprego (MTE).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Contudo, assim dispõe o </w:t>
      </w:r>
      <w:hyperlink r:id="rId17">
        <w:r w:rsidDel="00000000" w:rsidR="00000000" w:rsidRPr="00000000">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tl w:val="0"/>
          </w:rPr>
          <w:t xml:space="preserve">art. 2º da aludida norma</w:t>
        </w:r>
      </w:hyperlink>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1411" w:right="0" w:firstLine="0"/>
        <w:jc w:val="both"/>
        <w:rPr>
          <w:rFonts w:ascii="Times New Roman" w:cs="Times New Roman" w:eastAsia="Times New Roman" w:hAnsi="Times New Roman"/>
          <w:b w:val="0"/>
          <w:bCs w:val="0"/>
          <w:i w:val="1"/>
          <w:iCs w:val="1"/>
          <w:smallCaps w:val="0"/>
          <w:strike w:val="0"/>
          <w:color w:val="052229"/>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52229"/>
          <w:sz w:val="22"/>
          <w:szCs w:val="22"/>
          <w:u w:val="none"/>
          <w:shd w:fill="auto" w:val="clear"/>
          <w:vertAlign w:val="baseline"/>
          <w:rtl w:val="0"/>
        </w:rPr>
        <w:t xml:space="preserve">Art. 2º Compete ao Instituto Nacional do Seguro Social</w:t>
      </w:r>
      <w:r w:rsidDel="00000000" w:rsidR="00000000" w:rsidRPr="00000000">
        <w:rPr>
          <w:rFonts w:ascii="Times New Roman" w:cs="Times New Roman" w:eastAsia="Times New Roman" w:hAnsi="Times New Roman"/>
          <w:b w:val="0"/>
          <w:bCs w:val="0"/>
          <w:i w:val="1"/>
          <w:iCs w:val="1"/>
          <w:smallCaps w:val="0"/>
          <w:strike w:val="0"/>
          <w:color w:val="052229"/>
          <w:sz w:val="22"/>
          <w:szCs w:val="22"/>
          <w:u w:val="none"/>
          <w:shd w:fill="auto" w:val="clear"/>
          <w:vertAlign w:val="baseline"/>
          <w:rtl w:val="0"/>
        </w:rPr>
        <w:t xml:space="preserve"> receber e processar os requerimentos, habilitar os beneficiários, e apurar as eventuais irregularidades do seguro-desemprego do pescador artesanal relativos aos períodos de defeso </w:t>
      </w:r>
      <w:r w:rsidDel="00000000" w:rsidR="00000000" w:rsidRPr="00000000">
        <w:rPr>
          <w:rFonts w:ascii="Times New Roman" w:cs="Times New Roman" w:eastAsia="Times New Roman" w:hAnsi="Times New Roman"/>
          <w:b w:val="1"/>
          <w:bCs w:val="1"/>
          <w:i w:val="1"/>
          <w:iCs w:val="1"/>
          <w:smallCaps w:val="0"/>
          <w:strike w:val="0"/>
          <w:color w:val="052229"/>
          <w:sz w:val="22"/>
          <w:szCs w:val="22"/>
          <w:u w:val="none"/>
          <w:shd w:fill="auto" w:val="clear"/>
          <w:vertAlign w:val="baseline"/>
          <w:rtl w:val="0"/>
        </w:rPr>
        <w:t xml:space="preserve">até 31 de outubro de 2025</w:t>
      </w:r>
      <w:r w:rsidDel="00000000" w:rsidR="00000000" w:rsidRPr="00000000">
        <w:rPr>
          <w:rFonts w:ascii="Times New Roman" w:cs="Times New Roman" w:eastAsia="Times New Roman" w:hAnsi="Times New Roman"/>
          <w:b w:val="0"/>
          <w:bCs w:val="0"/>
          <w:i w:val="1"/>
          <w:iCs w:val="1"/>
          <w:smallCaps w:val="0"/>
          <w:strike w:val="0"/>
          <w:color w:val="052229"/>
          <w:sz w:val="22"/>
          <w:szCs w:val="22"/>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Nesse contexto, considerando que o pedido em questão fora realizado em 23/05/2025 (</w:t>
      </w:r>
      <w:hyperlink r:id="rId18">
        <w:r w:rsidDel="00000000" w:rsidR="00000000" w:rsidRPr="00000000">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tl w:val="0"/>
          </w:rPr>
          <w:t xml:space="preserve">evento 1, PROCADM3</w:t>
        </w:r>
      </w:hyperlink>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não há como afastar a competência do INSS para realizar o pagamento da parcela em aberto.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2229"/>
          <w:sz w:val="26"/>
          <w:szCs w:val="26"/>
          <w:u w:val="none"/>
          <w:shd w:fill="auto" w:val="clear"/>
          <w:vertAlign w:val="baseline"/>
          <w:rtl w:val="0"/>
        </w:rPr>
        <w:t xml:space="preserve">Mérito</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A </w:t>
      </w:r>
      <w:hyperlink r:id="rId19">
        <w:r w:rsidDel="00000000" w:rsidR="00000000" w:rsidRPr="00000000">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tl w:val="0"/>
          </w:rPr>
          <w:t xml:space="preserve">Lei 10.779/2003</w:t>
        </w:r>
      </w:hyperlink>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dispõe sobre a concessão do seguro-desemprego, durante o período de defeso da atividade pesqueira, ao pescador profissional que executa a pesca de forma artesanal, garantindo-o tanto a quem a exerce individualmente, como a quem a desempenha em regime de economia familiar, ainda que haja o auxílio eventual de terceiros, visando à preservação das espécies sujeitas à extinção. Os requisitos para habilitação ao benefício estão estabelecidos em seus artigos 1º e 2º.</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No caso, do processo administrativo é possível verificar que o(a) requerente preencheu todos os requisitos indispensáveis à concessão do benefício (</w:t>
      </w:r>
      <w:hyperlink r:id="rId20">
        <w:r w:rsidDel="00000000" w:rsidR="00000000" w:rsidRPr="00000000">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tl w:val="0"/>
          </w:rPr>
          <w:t xml:space="preserve">evento 1, PROCADM3</w:t>
        </w:r>
      </w:hyperlink>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Contudo, a quarta e última parcela do amparo realmente não foi paga (</w:t>
      </w:r>
      <w:hyperlink r:id="rId21">
        <w:r w:rsidDel="00000000" w:rsidR="00000000" w:rsidRPr="00000000">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tl w:val="0"/>
          </w:rPr>
          <w:t xml:space="preserve">evento 11, COMP2</w:t>
        </w:r>
      </w:hyperlink>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Dessa forma, não havendo justificativa para o bloqueio do pagamento da última parcela do benefício, merece prosperar a pretensão da parte autora.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2229"/>
          <w:sz w:val="26"/>
          <w:szCs w:val="26"/>
          <w:u w:val="none"/>
          <w:shd w:fill="auto" w:val="clear"/>
          <w:vertAlign w:val="baseline"/>
          <w:rtl w:val="0"/>
        </w:rPr>
        <w:t xml:space="preserve">Da tutela de urgência</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Considerando não se tratar de caso de implantação de benefício, mas tão somente de pagamento de atrasados, não há falar em tutela de urgência.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2229"/>
          <w:sz w:val="26"/>
          <w:szCs w:val="26"/>
          <w:u w:val="none"/>
          <w:shd w:fill="auto" w:val="clear"/>
          <w:vertAlign w:val="baseline"/>
          <w:rtl w:val="0"/>
        </w:rPr>
        <w:t xml:space="preserve">II. Dispositivo</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Ante o exposto, julgo</w:t>
      </w:r>
      <w:r w:rsidDel="00000000" w:rsidR="00000000" w:rsidRPr="00000000">
        <w:rPr>
          <w:rFonts w:ascii="Times New Roman" w:cs="Times New Roman" w:eastAsia="Times New Roman" w:hAnsi="Times New Roman"/>
          <w:b w:val="1"/>
          <w:bCs w:val="1"/>
          <w:i w:val="0"/>
          <w:iCs w:val="0"/>
          <w:smallCaps w:val="0"/>
          <w:strike w:val="0"/>
          <w:color w:val="052229"/>
          <w:sz w:val="26"/>
          <w:szCs w:val="26"/>
          <w:u w:val="none"/>
          <w:shd w:fill="auto" w:val="clear"/>
          <w:vertAlign w:val="baseline"/>
          <w:rtl w:val="0"/>
        </w:rPr>
        <w:t xml:space="preserve"> procedente</w:t>
      </w: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o pedido, nos termos da fundamentação, para condenar o INSS ao pagamento da última parcela do seguro-defeso do ano de 2025, a qual deverá ser atualizada monetariamente e acrescida de juros de mora a partir da citação, de acordo com o Manual de Cálculos da Justiça Federal vigente por ocasião da fase de cumprimento da sentença, observadas as alterações introduzidas pela EC 113/2021.</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Sem custas e honorários (artigos 54 e 55 da Lei 9.099/1995).</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Em caso de recurso, após ser aberto o prazo legal para entrega de contrarrazões, os autos deverão ser enviados à Turma Recursal. Não havendo recurso ou no retorno deste com a manutenção da sentença: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certifique-se o trânsito em julgado;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esgotada a prestação jurisdicional, com satisfação do crédito, dê-se baixa.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Intimem-se.</w:t>
      </w:r>
    </w:p>
    <w:p w:rsidR="00000000" w:rsidDel="00000000" w:rsidP="00000000" w:rsidRDefault="00000000" w:rsidRPr="00000000" w14:paraId="0000007C">
      <w:pPr>
        <w:spacing w:line="360" w:lineRule="auto"/>
        <w:ind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ind w:right="-568"/>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DOS DANOS MORAIS DECORRENTES DA SUPRESSÃO INDEVIDA DE VERBA ALIMENTAR</w:t>
      </w:r>
    </w:p>
    <w:p w:rsidR="00000000" w:rsidDel="00000000" w:rsidP="00000000" w:rsidRDefault="00000000" w:rsidRPr="00000000" w14:paraId="0000007E">
      <w:pPr>
        <w:ind w:right="-568"/>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F">
      <w:pPr>
        <w:ind w:right="-568"/>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0">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caso dos autos ultrapassa, em muito, a hipótese de mero aborrecimento ou simples atraso burocrático no processamento de benefício. </w:t>
      </w:r>
      <w:r w:rsidDel="00000000" w:rsidR="00000000" w:rsidRPr="00000000">
        <w:rPr>
          <w:rFonts w:ascii="Arial" w:cs="Arial" w:eastAsia="Arial" w:hAnsi="Arial"/>
          <w:b w:val="1"/>
          <w:bCs w:val="1"/>
          <w:sz w:val="24"/>
          <w:szCs w:val="24"/>
          <w:rtl w:val="0"/>
        </w:rPr>
        <w:t xml:space="preserve">Isso porque já se está prestes a completar 1 ano sem que muitos pescadores e pescadoras tenham recebido as parcelas do seguro-defeso a que faziam jus</w:t>
      </w:r>
      <w:r w:rsidDel="00000000" w:rsidR="00000000" w:rsidRPr="00000000">
        <w:rPr>
          <w:rFonts w:ascii="Arial" w:cs="Arial" w:eastAsia="Arial" w:hAnsi="Arial"/>
          <w:sz w:val="24"/>
          <w:szCs w:val="24"/>
          <w:rtl w:val="0"/>
        </w:rPr>
        <w:t xml:space="preserve">. Tal fato foi noticiado no Jornal do Almoço em abril deste ano:</w:t>
      </w:r>
    </w:p>
    <w:p w:rsidR="00000000" w:rsidDel="00000000" w:rsidP="00000000" w:rsidRDefault="00000000" w:rsidRPr="00000000" w14:paraId="00000081">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ind w:right="-568"/>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4063119" cy="1028203"/>
            <wp:effectExtent b="0" l="0" r="0" t="0"/>
            <wp:docPr id="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063119" cy="1028203"/>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right="-56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Link: </w:t>
      </w:r>
      <w:hyperlink r:id="rId23">
        <w:r w:rsidDel="00000000" w:rsidR="00000000" w:rsidRPr="00000000">
          <w:rPr>
            <w:rFonts w:ascii="Arial" w:cs="Arial" w:eastAsia="Arial" w:hAnsi="Arial"/>
            <w:color w:val="0000ff"/>
            <w:sz w:val="20"/>
            <w:szCs w:val="20"/>
            <w:u w:val="single"/>
            <w:rtl w:val="0"/>
          </w:rPr>
          <w:t xml:space="preserve">https://globoplay.globo.com/v/14550312/</w:t>
        </w:r>
      </w:hyperlink>
      <w:r w:rsidDel="00000000" w:rsidR="00000000" w:rsidRPr="00000000">
        <w:rPr>
          <w:rtl w:val="0"/>
        </w:rPr>
      </w:r>
    </w:p>
    <w:p w:rsidR="00000000" w:rsidDel="00000000" w:rsidP="00000000" w:rsidRDefault="00000000" w:rsidRPr="00000000" w14:paraId="00000084">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seguro-defeso possui natureza eminentemente alimentar, sendo destinado justamente à manutenção da subsistência dos pescadores e pescadoras artesanais durante o período em que o exercício da pesca é legalmente proibido para preservação das espécies. Trata-se, portanto, de </w:t>
      </w:r>
      <w:r w:rsidDel="00000000" w:rsidR="00000000" w:rsidRPr="00000000">
        <w:rPr>
          <w:rFonts w:ascii="Arial" w:cs="Arial" w:eastAsia="Arial" w:hAnsi="Arial"/>
          <w:b w:val="1"/>
          <w:bCs w:val="1"/>
          <w:sz w:val="24"/>
          <w:szCs w:val="24"/>
          <w:rtl w:val="0"/>
        </w:rPr>
        <w:t xml:space="preserve">verba substitutiva da renda familiar, indispensável à sobrevivência digna da parte autora e de seu núcleo familiar</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6">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caso, </w:t>
      </w:r>
      <w:r w:rsidDel="00000000" w:rsidR="00000000" w:rsidRPr="00000000">
        <w:rPr>
          <w:rFonts w:ascii="Arial" w:cs="Arial" w:eastAsia="Arial" w:hAnsi="Arial"/>
          <w:b w:val="1"/>
          <w:bCs w:val="1"/>
          <w:sz w:val="24"/>
          <w:szCs w:val="24"/>
          <w:rtl w:val="0"/>
        </w:rPr>
        <w:t xml:space="preserve">embora o requerimento administrativo tenha sido regularmente formulado ainda sob a égide das normas anteriores às alterações promovidas pela Medida Provisória n. 1.323/2025 e pelo Decreto n. 12.527/2025, bem como apesar de preenchidos os requisitos legais para a concessão do benefício - circunstância já reconhecida administrativamente em inúmeros casos semelhantes -, a parte autora permaneceu por período excessivamente prolongado</w:t>
      </w:r>
      <w:r w:rsidDel="00000000" w:rsidR="00000000" w:rsidRPr="00000000">
        <w:rPr>
          <w:rFonts w:ascii="Arial" w:cs="Arial" w:eastAsia="Arial" w:hAnsi="Arial"/>
          <w:sz w:val="24"/>
          <w:szCs w:val="24"/>
          <w:rtl w:val="0"/>
        </w:rPr>
        <w:t xml:space="preserve"> sem o recebimento integral das parcelas devidas.</w:t>
      </w:r>
    </w:p>
    <w:p w:rsidR="00000000" w:rsidDel="00000000" w:rsidP="00000000" w:rsidRDefault="00000000" w:rsidRPr="00000000" w14:paraId="00000088">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Prova do reconhecimento do Direito dos(as) pescadores(as), foi o ajuizamento, pelo </w:t>
      </w:r>
      <w:r w:rsidDel="00000000" w:rsidR="00000000" w:rsidRPr="00000000">
        <w:rPr>
          <w:rFonts w:ascii="Arial" w:cs="Arial" w:eastAsia="Arial" w:hAnsi="Arial"/>
          <w:b w:val="1"/>
          <w:bCs w:val="1"/>
          <w:sz w:val="24"/>
          <w:szCs w:val="24"/>
          <w:rtl w:val="0"/>
        </w:rPr>
        <w:t xml:space="preserve">Programa Permanente de Extensão “Cidadania, Direitos e Justiça” (CIDJUS/FURG), por meio do Escritório Modelo de Assessoria Jurídica da FURG (EMAJ/FURG) de 505 processos sentenciando favoravelmente o direito dos pecadores(as) ao recebimento do seguro-defeso, até o momento.</w:t>
      </w:r>
      <w:r w:rsidDel="00000000" w:rsidR="00000000" w:rsidRPr="00000000">
        <w:rPr>
          <w:rtl w:val="0"/>
        </w:rPr>
      </w:r>
    </w:p>
    <w:p w:rsidR="00000000" w:rsidDel="00000000" w:rsidP="00000000" w:rsidRDefault="00000000" w:rsidRPr="00000000" w14:paraId="0000008A">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ind w:right="-568" w:firstLine="851"/>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À luz do Direito Intertemporal, é sabido que, no tocante à modificação de normas processuais, aplicam-se as regras do direito processual intertemporal. Logo, pedidos protocolados à vigência da norma anterior e cujos pedidos já tiveram sua análise solicitada no tempo correto para o enquadramento na lei antiga, devem ser por ela processados. Logo, </w:t>
      </w:r>
      <w:r w:rsidDel="00000000" w:rsidR="00000000" w:rsidRPr="00000000">
        <w:rPr>
          <w:rFonts w:ascii="Arial" w:cs="Arial" w:eastAsia="Arial" w:hAnsi="Arial"/>
          <w:b w:val="1"/>
          <w:bCs w:val="1"/>
          <w:sz w:val="24"/>
          <w:szCs w:val="24"/>
          <w:rtl w:val="0"/>
        </w:rPr>
        <w:t xml:space="preserve">a omissão administrativa do INSS não decorreu de conduta atribuível ao(à) pescador(a), mas exclusivamente da desorganização estatal e da implementação tardia de ajustes sistêmicos internos, circunstância que não pode ser transferida à população hipossuficiente que depende do benefício para sua própria sobrevivência.</w:t>
      </w:r>
    </w:p>
    <w:p w:rsidR="00000000" w:rsidDel="00000000" w:rsidP="00000000" w:rsidRDefault="00000000" w:rsidRPr="00000000" w14:paraId="0000008C">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Há de se considerar, ainda, que os pescadores e pescadoras artesanais da região estuarina da Lagoa dos Patos </w:t>
      </w:r>
      <w:r w:rsidDel="00000000" w:rsidR="00000000" w:rsidRPr="00000000">
        <w:rPr>
          <w:rFonts w:ascii="Arial" w:cs="Arial" w:eastAsia="Arial" w:hAnsi="Arial"/>
          <w:b w:val="1"/>
          <w:bCs w:val="1"/>
          <w:sz w:val="24"/>
          <w:szCs w:val="24"/>
          <w:rtl w:val="0"/>
        </w:rPr>
        <w:t xml:space="preserve">enfrentam cenário de extrema vulnerabilidade econômica e social agravado pelos impactos das enchentes ocorridas nos anos de 2023 e 2024, </w:t>
      </w:r>
      <w:r w:rsidDel="00000000" w:rsidR="00000000" w:rsidRPr="00000000">
        <w:rPr>
          <w:rFonts w:ascii="Arial" w:cs="Arial" w:eastAsia="Arial" w:hAnsi="Arial"/>
          <w:sz w:val="24"/>
          <w:szCs w:val="24"/>
          <w:rtl w:val="0"/>
        </w:rPr>
        <w:t xml:space="preserve">que atingiram diretamente seus instrumentos de trabalho, moradias e capacidade de subsistência.</w:t>
      </w:r>
    </w:p>
    <w:p w:rsidR="00000000" w:rsidDel="00000000" w:rsidP="00000000" w:rsidRDefault="00000000" w:rsidRPr="00000000" w14:paraId="0000008D">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demora injustificada no pagamento do seguro-defeso obrigou inúmeros trabalhadores e trabalhadoras da pesca artesanal </w:t>
      </w:r>
      <w:r w:rsidDel="00000000" w:rsidR="00000000" w:rsidRPr="00000000">
        <w:rPr>
          <w:rFonts w:ascii="Arial" w:cs="Arial" w:eastAsia="Arial" w:hAnsi="Arial"/>
          <w:b w:val="1"/>
          <w:bCs w:val="1"/>
          <w:sz w:val="24"/>
          <w:szCs w:val="24"/>
          <w:rtl w:val="0"/>
        </w:rPr>
        <w:t xml:space="preserve">a recorrerem a empréstimos, auxílios de terceiros e privações materiais severas para garantir alimentação, medicamentos e despesas básicas familiares, situação que afronta diretamente os princípios da dignidade da pessoa humana e da proteção social</w:t>
      </w:r>
      <w:r w:rsidDel="00000000" w:rsidR="00000000" w:rsidRPr="00000000">
        <w:rPr>
          <w:rFonts w:ascii="Arial" w:cs="Arial" w:eastAsia="Arial" w:hAnsi="Arial"/>
          <w:sz w:val="24"/>
          <w:szCs w:val="24"/>
          <w:rtl w:val="0"/>
        </w:rPr>
        <w:t xml:space="preserve"> assegurados pela Constituição Federal. O noticiário divulgou amplamente tal realidade:</w:t>
      </w:r>
    </w:p>
    <w:p w:rsidR="00000000" w:rsidDel="00000000" w:rsidP="00000000" w:rsidRDefault="00000000" w:rsidRPr="00000000" w14:paraId="0000008F">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ind w:right="-568"/>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381375" cy="1002006"/>
            <wp:effectExtent b="0" l="0" r="0" t="0"/>
            <wp:docPr id="5" name="image3.png"/>
            <a:graphic>
              <a:graphicData uri="http://schemas.openxmlformats.org/drawingml/2006/picture">
                <pic:pic>
                  <pic:nvPicPr>
                    <pic:cNvPr id="0" name="image3.png"/>
                    <pic:cNvPicPr preferRelativeResize="0"/>
                  </pic:nvPicPr>
                  <pic:blipFill>
                    <a:blip r:embed="rId24"/>
                    <a:srcRect b="66124" l="0" r="0" t="0"/>
                    <a:stretch>
                      <a:fillRect/>
                    </a:stretch>
                  </pic:blipFill>
                  <pic:spPr>
                    <a:xfrm>
                      <a:off x="0" y="0"/>
                      <a:ext cx="3381375" cy="1002006"/>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right="-56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ind w:right="-568"/>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399146" cy="970498"/>
            <wp:effectExtent b="0" l="0" r="0" t="0"/>
            <wp:docPr id="4"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3399146" cy="97049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right="-56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ind w:right="-568"/>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399234" cy="960131"/>
            <wp:effectExtent b="0" l="0" r="0" t="0"/>
            <wp:docPr id="7"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3399234" cy="960131"/>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right="-56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6">
      <w:pPr>
        <w:ind w:right="-568"/>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527630" cy="880663"/>
            <wp:effectExtent b="0" l="0" r="0" t="0"/>
            <wp:docPr id="6"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3527630" cy="88066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ind w:right="-568" w:firstLine="851"/>
        <w:jc w:val="both"/>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A jurisprudência pátria tem reconhecido que a supressão ou atraso injustificado de benefício de natureza alimentar, sobretudo quando prolongado e associado à situação de vulnerabilidade social do beneficiário, pode ensejar reparação por danos morais, especialmente quando configurada falha grave da Administração Pública. No caso dos pescadores(as) do Rio Grande do Sul, </w:t>
      </w:r>
      <w:r w:rsidDel="00000000" w:rsidR="00000000" w:rsidRPr="00000000">
        <w:rPr>
          <w:rFonts w:ascii="Arial" w:cs="Arial" w:eastAsia="Arial" w:hAnsi="Arial"/>
          <w:b w:val="1"/>
          <w:bCs w:val="1"/>
          <w:sz w:val="24"/>
          <w:szCs w:val="24"/>
          <w:u w:val="single"/>
          <w:rtl w:val="0"/>
        </w:rPr>
        <w:t xml:space="preserve">a cobertura jornalística tem demonstrado a extensão uniforme do dano a toda a classe, de modo que não se faz necessária a individualização dos danos – que já são públicos e notórios.</w:t>
      </w:r>
    </w:p>
    <w:p w:rsidR="00000000" w:rsidDel="00000000" w:rsidP="00000000" w:rsidRDefault="00000000" w:rsidRPr="00000000" w14:paraId="00000099">
      <w:pPr>
        <w:ind w:right="-568" w:firstLine="851"/>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9A">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Nesse contexto, considerando a natureza alimentar do benefício, a demora excessiva e injustificada, a falha administrativa estatal, a vulnerabilidade social da parte autora e o prolongamento indevido da privação financeira, </w:t>
      </w:r>
      <w:r w:rsidDel="00000000" w:rsidR="00000000" w:rsidRPr="00000000">
        <w:rPr>
          <w:rFonts w:ascii="Arial" w:cs="Arial" w:eastAsia="Arial" w:hAnsi="Arial"/>
          <w:b w:val="1"/>
          <w:bCs w:val="1"/>
          <w:sz w:val="24"/>
          <w:szCs w:val="24"/>
          <w:rtl w:val="0"/>
        </w:rPr>
        <w:t xml:space="preserve">resta configurado o dano moral indenizável</w:t>
      </w:r>
      <w:r w:rsidDel="00000000" w:rsidR="00000000" w:rsidRPr="00000000">
        <w:rPr>
          <w:rFonts w:ascii="Arial" w:cs="Arial" w:eastAsia="Arial" w:hAnsi="Arial"/>
          <w:sz w:val="24"/>
          <w:szCs w:val="24"/>
          <w:rtl w:val="0"/>
        </w:rPr>
        <w:t xml:space="preserve">, razão pela qual requer a condenação da parte ré ao pagamento de indenização por danos morais em valor não inferior a R$ 5.000 (cinco mil reais) ao pescador(a).</w:t>
      </w:r>
    </w:p>
    <w:p w:rsidR="00000000" w:rsidDel="00000000" w:rsidP="00000000" w:rsidRDefault="00000000" w:rsidRPr="00000000" w14:paraId="0000009B">
      <w:pPr>
        <w:ind w:right="-568"/>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DA RESPONSABILIDADE CIVIL OBJETIVA DA ADMINISTRAÇÃO PÚBLICA</w:t>
      </w:r>
    </w:p>
    <w:p w:rsidR="00000000" w:rsidDel="00000000" w:rsidP="00000000" w:rsidRDefault="00000000" w:rsidRPr="00000000" w14:paraId="0000009C">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Constituição Federal, em seu art. 37, §6º, estabelece a responsabilidade civil objetiva da Administração Pública pelos danos causados a terceiros em decorrência da atuação de seus agentes: </w:t>
      </w:r>
    </w:p>
    <w:p w:rsidR="00000000" w:rsidDel="00000000" w:rsidP="00000000" w:rsidRDefault="00000000" w:rsidRPr="00000000" w14:paraId="0000009E">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ind w:left="2268" w:right="-5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 37. A administração pública direta e indireta de qualquer dos Poderes da União, dos Estados, do Distrito Federal e dos Municípios obedecerá aos princípios de legalidade, impessoalidade, moralidade, publicidade e eficiência e, também, ao seguinte:</w:t>
      </w:r>
    </w:p>
    <w:p w:rsidR="00000000" w:rsidDel="00000000" w:rsidP="00000000" w:rsidRDefault="00000000" w:rsidRPr="00000000" w14:paraId="000000A0">
      <w:pPr>
        <w:ind w:left="2268" w:right="-5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A1">
      <w:pPr>
        <w:ind w:left="2268" w:right="-5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6º As pessoas jurídicas de direito público e as de direito privado prestadoras de serviços públicos responderão pelos danos que seus agentes, nessa qualidade, causarem a terceiros, assegurado o direito de regresso contra o responsável nos casos de dolo ou culpa.</w:t>
      </w:r>
    </w:p>
    <w:p w:rsidR="00000000" w:rsidDel="00000000" w:rsidP="00000000" w:rsidRDefault="00000000" w:rsidRPr="00000000" w14:paraId="000000A2">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caso, resta configurada a </w:t>
      </w:r>
      <w:r w:rsidDel="00000000" w:rsidR="00000000" w:rsidRPr="00000000">
        <w:rPr>
          <w:rFonts w:ascii="Arial" w:cs="Arial" w:eastAsia="Arial" w:hAnsi="Arial"/>
          <w:b w:val="1"/>
          <w:bCs w:val="1"/>
          <w:sz w:val="24"/>
          <w:szCs w:val="24"/>
          <w:rtl w:val="0"/>
        </w:rPr>
        <w:t xml:space="preserve">responsabilidade civil objetiva</w:t>
      </w:r>
      <w:r w:rsidDel="00000000" w:rsidR="00000000" w:rsidRPr="00000000">
        <w:rPr>
          <w:rFonts w:ascii="Arial" w:cs="Arial" w:eastAsia="Arial" w:hAnsi="Arial"/>
          <w:sz w:val="24"/>
          <w:szCs w:val="24"/>
          <w:rtl w:val="0"/>
        </w:rPr>
        <w:t xml:space="preserve"> da Autarquia Ré, uma vez demonstradas a falha administrativa consistente no atraso injustificado e prolongado do pagamento do seguro-defeso, o dano experimentado pela parte autora diante da privação de verba alimentar indispensável à sua subsistência (fato público e notório) e o nexo causal entre a omissão administrativa e os prejuízos suportados</w:t>
      </w:r>
    </w:p>
    <w:p w:rsidR="00000000" w:rsidDel="00000000" w:rsidP="00000000" w:rsidRDefault="00000000" w:rsidRPr="00000000" w14:paraId="000000A4">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Administração Pública não pode transferir aos administrados os ônus decorrentes de sua própria desorganização interna, mormente quando se trata de benefício de natureza alimentar destinado a população hipossuficiente e em situação de elevada vulnerabilidade social. Nesse sentido é o entendimento do STJ:</w:t>
      </w:r>
    </w:p>
    <w:p w:rsidR="00000000" w:rsidDel="00000000" w:rsidP="00000000" w:rsidRDefault="00000000" w:rsidRPr="00000000" w14:paraId="000000A6">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568"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responsabilidade civil do Estado ou de delegatário de serviço público, no caso de conduta omissiva, ocorrerá quando presentes estiverem 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elementos que caracterizam a culpa, a qual se origina do descumprimento do dever legal atribuído ao Poder Público de impedir a consumação do dano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(cf. REsp 1.210.064/SP, Rel. Ministro Luis Felipe Salomão, Segunda Seção, julgado DJe 31.8.2012).</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5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Embora alterações normativas e ajustes sistêmicos possam demandar reorganizações administrativas, tais circunstâncias não afastam o dever estatal de assegurar continuidade, eficiência e regularidade na prestação do serviço público. A demora excessiva e injustificada no pagamento do seguro-defeso, especialmente após o reconhecimento administrativo do direito em inúmeros casos semelhantes, configura inequívoca falha na prestação do serviço público, apta a ensejar o dever de indenizar.</w:t>
      </w:r>
    </w:p>
    <w:p w:rsidR="00000000" w:rsidDel="00000000" w:rsidP="00000000" w:rsidRDefault="00000000" w:rsidRPr="00000000" w14:paraId="000000AA">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pStyle w:val="Heading1"/>
        <w:tabs>
          <w:tab w:val="left" w:leader="none" w:pos="426"/>
        </w:tabs>
        <w:ind w:left="0" w:firstLine="0"/>
        <w:rPr>
          <w:rFonts w:ascii="Arial" w:cs="Arial" w:eastAsia="Arial" w:hAnsi="Arial"/>
          <w:u w:val="single"/>
        </w:rPr>
      </w:pPr>
      <w:r w:rsidDel="00000000" w:rsidR="00000000" w:rsidRPr="00000000">
        <w:rPr>
          <w:rFonts w:ascii="Arial" w:cs="Arial" w:eastAsia="Arial" w:hAnsi="Arial"/>
          <w:sz w:val="24"/>
          <w:szCs w:val="24"/>
          <w:u w:val="single"/>
          <w:rtl w:val="0"/>
        </w:rPr>
        <w:t xml:space="preserve">3. DOS PEDIDOS</w: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b w:val="1"/>
          <w:bCs w:val="1"/>
          <w:color w:val="000000"/>
          <w:sz w:val="28"/>
          <w:szCs w:val="28"/>
          <w:rtl w:val="0"/>
        </w:rPr>
        <w:tab/>
      </w:r>
      <w:r w:rsidDel="00000000" w:rsidR="00000000" w:rsidRPr="00000000">
        <w:rPr>
          <w:rFonts w:ascii="Arial" w:cs="Arial" w:eastAsia="Arial" w:hAnsi="Arial"/>
          <w:color w:val="000000"/>
          <w:sz w:val="24"/>
          <w:szCs w:val="24"/>
          <w:rtl w:val="0"/>
        </w:rPr>
        <w:t xml:space="preserve">Ante o exposto, requer:</w:t>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 </w:t>
      </w:r>
      <w:r w:rsidDel="00000000" w:rsidR="00000000" w:rsidRPr="00000000">
        <w:rPr>
          <w:rFonts w:ascii="Arial" w:cs="Arial" w:eastAsia="Arial" w:hAnsi="Arial"/>
          <w:color w:val="000000"/>
          <w:sz w:val="24"/>
          <w:szCs w:val="24"/>
          <w:rtl w:val="0"/>
        </w:rPr>
        <w:t xml:space="preserve">O </w:t>
      </w:r>
      <w:r w:rsidDel="00000000" w:rsidR="00000000" w:rsidRPr="00000000">
        <w:rPr>
          <w:rFonts w:ascii="Arial" w:cs="Arial" w:eastAsia="Arial" w:hAnsi="Arial"/>
          <w:b w:val="1"/>
          <w:bCs w:val="1"/>
          <w:color w:val="000000"/>
          <w:sz w:val="24"/>
          <w:szCs w:val="24"/>
          <w:rtl w:val="0"/>
        </w:rPr>
        <w:t xml:space="preserve">recebimento da inicial</w:t>
      </w:r>
      <w:r w:rsidDel="00000000" w:rsidR="00000000" w:rsidRPr="00000000">
        <w:rPr>
          <w:rFonts w:ascii="Arial" w:cs="Arial" w:eastAsia="Arial" w:hAnsi="Arial"/>
          <w:color w:val="000000"/>
          <w:sz w:val="24"/>
          <w:szCs w:val="24"/>
          <w:rtl w:val="0"/>
        </w:rPr>
        <w:t xml:space="preserve"> e o regular processamento do feito, com a </w:t>
      </w:r>
      <w:r w:rsidDel="00000000" w:rsidR="00000000" w:rsidRPr="00000000">
        <w:rPr>
          <w:rFonts w:ascii="Arial" w:cs="Arial" w:eastAsia="Arial" w:hAnsi="Arial"/>
          <w:b w:val="1"/>
          <w:bCs w:val="1"/>
          <w:color w:val="000000"/>
          <w:sz w:val="24"/>
          <w:szCs w:val="24"/>
          <w:rtl w:val="0"/>
        </w:rPr>
        <w:t xml:space="preserve">citação da Ré</w:t>
      </w:r>
      <w:r w:rsidDel="00000000" w:rsidR="00000000" w:rsidRPr="00000000">
        <w:rPr>
          <w:rFonts w:ascii="Arial" w:cs="Arial" w:eastAsia="Arial" w:hAnsi="Arial"/>
          <w:color w:val="000000"/>
          <w:sz w:val="24"/>
          <w:szCs w:val="24"/>
          <w:rtl w:val="0"/>
        </w:rPr>
        <w:t xml:space="preserve"> para, querendo, oferecer sua resposta;</w:t>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left" w:leader="none" w:pos="425"/>
        </w:tabs>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b) </w:t>
      </w:r>
      <w:r w:rsidDel="00000000" w:rsidR="00000000" w:rsidRPr="00000000">
        <w:rPr>
          <w:rFonts w:ascii="Arial" w:cs="Arial" w:eastAsia="Arial" w:hAnsi="Arial"/>
          <w:color w:val="000000"/>
          <w:sz w:val="24"/>
          <w:szCs w:val="24"/>
          <w:rtl w:val="0"/>
        </w:rPr>
        <w:t xml:space="preserve">A </w:t>
      </w:r>
      <w:r w:rsidDel="00000000" w:rsidR="00000000" w:rsidRPr="00000000">
        <w:rPr>
          <w:rFonts w:ascii="Arial" w:cs="Arial" w:eastAsia="Arial" w:hAnsi="Arial"/>
          <w:b w:val="1"/>
          <w:bCs w:val="1"/>
          <w:color w:val="000000"/>
          <w:sz w:val="24"/>
          <w:szCs w:val="24"/>
          <w:rtl w:val="0"/>
        </w:rPr>
        <w:t xml:space="preserve">concessão dos benefícios da Gratuidade da Justiça,</w:t>
      </w:r>
      <w:r w:rsidDel="00000000" w:rsidR="00000000" w:rsidRPr="00000000">
        <w:rPr>
          <w:rFonts w:ascii="Arial" w:cs="Arial" w:eastAsia="Arial" w:hAnsi="Arial"/>
          <w:color w:val="000000"/>
          <w:sz w:val="24"/>
          <w:szCs w:val="24"/>
          <w:rtl w:val="0"/>
        </w:rPr>
        <w:t xml:space="preserve"> eis que o(a) autor(a) está sem trabalho e renda justamente devido ao período do defeso, conforme declaração de hipossuficiência anexa, fulcro no art. 98, CPC;</w:t>
      </w:r>
    </w:p>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left" w:leader="none" w:pos="425"/>
        </w:tabs>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4">
      <w:pPr>
        <w:tabs>
          <w:tab w:val="left" w:leader="none" w:pos="426"/>
        </w:tabs>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w:t>
      </w:r>
      <w:r w:rsidDel="00000000" w:rsidR="00000000" w:rsidRPr="00000000">
        <w:rPr>
          <w:rFonts w:ascii="Arial" w:cs="Arial" w:eastAsia="Arial" w:hAnsi="Arial"/>
          <w:sz w:val="24"/>
          <w:szCs w:val="24"/>
          <w:rtl w:val="0"/>
        </w:rPr>
        <w:t xml:space="preserve"> A total procedência dos pedidos com a condenação da ré ao pagamento da quarta e última parcela do seguro-defeso de 2025: </w:t>
      </w:r>
    </w:p>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6">
      <w:pPr>
        <w:ind w:right="-568"/>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sz w:val="24"/>
          <w:szCs w:val="24"/>
          <w:rtl w:val="0"/>
        </w:rPr>
        <w:t xml:space="preserve">a) A condenação da parte ré ao </w:t>
      </w:r>
      <w:r w:rsidDel="00000000" w:rsidR="00000000" w:rsidRPr="00000000">
        <w:rPr>
          <w:rFonts w:ascii="Arial" w:cs="Arial" w:eastAsia="Arial" w:hAnsi="Arial"/>
          <w:b w:val="1"/>
          <w:bCs w:val="1"/>
          <w:sz w:val="24"/>
          <w:szCs w:val="24"/>
          <w:rtl w:val="0"/>
        </w:rPr>
        <w:t xml:space="preserve">pagamento de indenização por danos morais, em valor não inferior a R$ 5.000 (cinco mil reais),</w:t>
      </w:r>
      <w:r w:rsidDel="00000000" w:rsidR="00000000" w:rsidRPr="00000000">
        <w:rPr>
          <w:rFonts w:ascii="Arial" w:cs="Arial" w:eastAsia="Arial" w:hAnsi="Arial"/>
          <w:sz w:val="24"/>
          <w:szCs w:val="24"/>
          <w:rtl w:val="0"/>
        </w:rPr>
        <w:t xml:space="preserve"> ou outro montante a ser arbitrado por Vossa Excelência, diante da demora excessiva e injustificada no pagamento de verba alimentar indispensável à subsistência da parte autora;</w:t>
      </w:r>
    </w:p>
    <w:p w:rsidR="00000000" w:rsidDel="00000000" w:rsidP="00000000" w:rsidRDefault="00000000" w:rsidRPr="00000000" w14:paraId="000000B7">
      <w:pPr>
        <w:spacing w:line="360" w:lineRule="auto"/>
        <w:ind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Fonts w:ascii="Arial" w:cs="Arial" w:eastAsia="Arial" w:hAnsi="Arial"/>
          <w:b w:val="1"/>
          <w:bCs w:val="1"/>
          <w:sz w:val="24"/>
          <w:szCs w:val="24"/>
          <w:rtl w:val="0"/>
        </w:rPr>
        <w:t xml:space="preserve">e</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A </w:t>
      </w:r>
      <w:r w:rsidDel="00000000" w:rsidR="00000000" w:rsidRPr="00000000">
        <w:rPr>
          <w:rFonts w:ascii="Arial" w:cs="Arial" w:eastAsia="Arial" w:hAnsi="Arial"/>
          <w:b w:val="1"/>
          <w:bCs w:val="1"/>
          <w:color w:val="000000"/>
          <w:sz w:val="24"/>
          <w:szCs w:val="24"/>
          <w:rtl w:val="0"/>
        </w:rPr>
        <w:t xml:space="preserve">condenação da Ré ao pagamento das custas e honorários advocatícios</w:t>
      </w:r>
      <w:r w:rsidDel="00000000" w:rsidR="00000000" w:rsidRPr="00000000">
        <w:rPr>
          <w:rFonts w:ascii="Arial" w:cs="Arial" w:eastAsia="Arial" w:hAnsi="Arial"/>
          <w:color w:val="000000"/>
          <w:sz w:val="24"/>
          <w:szCs w:val="24"/>
          <w:rtl w:val="0"/>
        </w:rPr>
        <w:t xml:space="preserve">, nos termos do artigo 85 do Código de Processo Civil.</w:t>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tab/>
        <w:t xml:space="preserve">Pede, ainda, que a Autarquia Ré traga, quando da Resposta, de forma motivada e fundamentada, as razões pelas quais não satisfez a última parcela do seguro-defeso de 2025, bem como junte a cópia integral do PROCESSO ADMINISTRATIVO, uma vez que a parte autora não está tendo acesso ao processo integral.</w:t>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ind w:firstLine="707"/>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Protestam provar o alegado por todos os meios em direito admitidos, notadamente através da prova testemunhal e documental.</w:t>
      </w:r>
    </w:p>
    <w:p w:rsidR="00000000" w:rsidDel="00000000" w:rsidP="00000000" w:rsidRDefault="00000000" w:rsidRPr="00000000" w14:paraId="000000BE">
      <w:pPr>
        <w:pBdr>
          <w:top w:space="0" w:sz="0" w:val="nil"/>
          <w:left w:space="0" w:sz="0" w:val="nil"/>
          <w:bottom w:space="0" w:sz="0" w:val="nil"/>
          <w:right w:space="0" w:sz="0" w:val="nil"/>
          <w:between w:space="0" w:sz="0" w:val="nil"/>
        </w:pBd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Dá-se à causa o valor de </w:t>
      </w:r>
      <w:r w:rsidDel="00000000" w:rsidR="00000000" w:rsidRPr="00000000">
        <w:rPr>
          <w:rFonts w:ascii="Arial" w:cs="Arial" w:eastAsia="Arial" w:hAnsi="Arial"/>
          <w:b w:val="1"/>
          <w:bCs w:val="1"/>
          <w:sz w:val="24"/>
          <w:szCs w:val="24"/>
          <w:rtl w:val="0"/>
        </w:rPr>
        <w:t xml:space="preserve">R$ </w:t>
      </w:r>
      <w:r>
        <w:rPr>
          <w:rFonts w:ascii="Arial" w:cs="Arial" w:eastAsia="Arial" w:hAnsi="Arial"/>
          <w:b/>
          <w:bCs w:val="1"/>
          <w:sz w:val="24"/>
          <w:szCs w:val="24"/>
          <w:rtl w:val="0"/>
        </w:rPr>
        <w:t>&lt;&lt;VALOR_CAUSA&gt;&gt;</w:t>
      </w:r>
      <w:r>
        <w:rPr>
          <w:rFonts w:ascii="Arial" w:cs="Arial" w:eastAsia="Arial" w:hAnsi="Arial"/>
          <w:b w:val="1"/>
          <w:bCs w:val="1"/>
          <w:sz w:val="24"/>
          <w:szCs w:val="24"/>
          <w:rtl w:val="0"/>
        </w:rPr>
        <w:t>.</w:t>
      </w:r>
      <w:r w:rsidDel="00000000" w:rsidR="00000000" w:rsidRPr="00000000">
        <w:rPr>
          <w:rtl w:val="0"/>
        </w:rPr>
      </w:r>
    </w:p>
    <w:p w:rsidR="00000000" w:rsidDel="00000000" w:rsidP="00000000" w:rsidRDefault="00000000" w:rsidRPr="00000000" w14:paraId="000000C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ind w:hanging="12"/>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3">
      <w:pPr>
        <w:jc w:val="center"/>
        <w:rPr>
          <w:rFonts w:ascii="Arial" w:cs="Arial" w:eastAsia="Arial" w:hAnsi="Arial"/>
          <w:sz w:val="24"/>
          <w:szCs w:val="24"/>
        </w:rPr>
      </w:pPr>
      <w:r w:rsidDel="00000000" w:rsidR="00000000" w:rsidRPr="00000000">
        <w:rPr>
          <w:rFonts w:ascii="Arial" w:cs="Arial" w:eastAsia="Arial" w:hAnsi="Arial"/>
          <w:sz w:val="24"/>
          <w:szCs w:val="24"/>
          <w:rtl w:val="0"/>
        </w:rPr>
      </w:r>
      <w:r>
        <w:rPr>
          <w:rFonts w:ascii="Arial" w:cs="Arial" w:eastAsia="Arial" w:hAnsi="Arial"/>
          <w:b/>
          <w:sz w:val="24"/>
          <w:szCs w:val="24"/>
          <w:rtl w:val="0"/>
        </w:rPr>
        <w:t>&lt;&lt;LOCAL_DATA&gt;&gt;</w:t>
      </w:r>
    </w:p>
    <w:p w:rsidR="00000000" w:rsidDel="00000000" w:rsidP="00000000" w:rsidRDefault="00000000" w:rsidRPr="00000000" w14:paraId="000000C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jc w:val="center"/>
        <w:rPr>
          <w:rFonts w:ascii="Arial" w:cs="Arial" w:eastAsia="Arial" w:hAnsi="Arial"/>
          <w:sz w:val="24"/>
          <w:szCs w:val="24"/>
        </w:rPr>
      </w:pPr>
      <w:r w:rsidDel="00000000" w:rsidR="00000000" w:rsidRPr="00000000">
        <w:rPr>
          <w:rtl w:val="0"/>
        </w:rPr>
      </w:r>
    </w:p>
    <w:tbl>
      <w:tblPr>
        <w:tblStyle w:val="Table1"/>
        <w:tblW w:w="964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1.5"/>
        <w:gridCol w:w="4821.5"/>
        <w:tblGridChange w:id="0">
          <w:tblGrid>
            <w:gridCol w:w="4821.5"/>
            <w:gridCol w:w="482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spacing w:after="200" w:lineRule="auto"/>
              <w:ind w:hanging="12"/>
              <w:jc w:val="center"/>
              <w:rPr>
                <w:rFonts w:ascii="Arial" w:cs="Arial" w:eastAsia="Arial" w:hAnsi="Arial"/>
                <w:b w:val="1"/>
                <w:bCs w:val="1"/>
              </w:rPr>
            </w:pPr>
            <w:r w:rsidDel="00000000" w:rsidR="00000000" w:rsidRPr="00000000">
              <w:rPr>
                <w:rFonts w:ascii="Arial" w:cs="Arial" w:eastAsia="Arial" w:hAnsi="Arial"/>
                <w:b w:val="1"/>
                <w:bCs w:val="1"/>
                <w:rtl w:val="0"/>
              </w:rPr>
              <w:t xml:space="preserve">JOSÉ RICARDO CAETANO COSTA</w:t>
            </w:r>
          </w:p>
          <w:p w:rsidR="00000000" w:rsidDel="00000000" w:rsidP="00000000" w:rsidRDefault="00000000" w:rsidRPr="00000000" w14:paraId="000000C8">
            <w:pPr>
              <w:spacing w:after="200" w:lineRule="auto"/>
              <w:ind w:hanging="12"/>
              <w:jc w:val="center"/>
              <w:rPr>
                <w:rFonts w:ascii="Arial" w:cs="Arial" w:eastAsia="Arial" w:hAnsi="Arial"/>
                <w:b w:val="1"/>
                <w:bCs w:val="1"/>
              </w:rPr>
            </w:pPr>
            <w:r w:rsidDel="00000000" w:rsidR="00000000" w:rsidRPr="00000000">
              <w:rPr>
                <w:rFonts w:ascii="Arial" w:cs="Arial" w:eastAsia="Arial" w:hAnsi="Arial"/>
                <w:rtl w:val="0"/>
              </w:rPr>
              <w:t xml:space="preserve">OAB/RS 028.912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9">
            <w:pPr>
              <w:spacing w:after="200" w:lineRule="auto"/>
              <w:ind w:hanging="12"/>
              <w:jc w:val="center"/>
              <w:rPr>
                <w:rFonts w:ascii="Arial" w:cs="Arial" w:eastAsia="Arial" w:hAnsi="Arial"/>
                <w:b w:val="1"/>
                <w:bCs w:val="1"/>
              </w:rPr>
            </w:pPr>
            <w:r w:rsidDel="00000000" w:rsidR="00000000" w:rsidRPr="00000000">
              <w:rPr>
                <w:rFonts w:ascii="Arial" w:cs="Arial" w:eastAsia="Arial" w:hAnsi="Arial"/>
                <w:b w:val="1"/>
                <w:bCs w:val="1"/>
                <w:rtl w:val="0"/>
              </w:rPr>
              <w:t xml:space="preserve">THELMO TEIXEIRA BRANCO FILHO</w:t>
            </w:r>
          </w:p>
          <w:p w:rsidR="00000000" w:rsidDel="00000000" w:rsidP="00000000" w:rsidRDefault="00000000" w:rsidRPr="00000000" w14:paraId="000000CA">
            <w:pPr>
              <w:spacing w:after="200" w:lineRule="auto"/>
              <w:ind w:hanging="12"/>
              <w:jc w:val="center"/>
              <w:rPr>
                <w:rFonts w:ascii="Arial" w:cs="Arial" w:eastAsia="Arial" w:hAnsi="Arial"/>
                <w:b w:val="1"/>
                <w:bCs w:val="1"/>
              </w:rPr>
            </w:pPr>
            <w:r w:rsidDel="00000000" w:rsidR="00000000" w:rsidRPr="00000000">
              <w:rPr>
                <w:rFonts w:ascii="Arial" w:cs="Arial" w:eastAsia="Arial" w:hAnsi="Arial"/>
                <w:rtl w:val="0"/>
              </w:rPr>
              <w:t xml:space="preserve">OAB/RS 132.839B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B">
            <w:pPr>
              <w:spacing w:after="200" w:lineRule="auto"/>
              <w:ind w:hanging="12"/>
              <w:jc w:val="center"/>
              <w:rPr>
                <w:rFonts w:ascii="Arial" w:cs="Arial" w:eastAsia="Arial" w:hAnsi="Arial"/>
                <w:b w:val="1"/>
                <w:bCs w:val="1"/>
              </w:rPr>
            </w:pPr>
            <w:r w:rsidDel="00000000" w:rsidR="00000000" w:rsidRPr="00000000">
              <w:rPr>
                <w:rFonts w:ascii="Arial" w:cs="Arial" w:eastAsia="Arial" w:hAnsi="Arial"/>
                <w:b w:val="1"/>
                <w:bCs w:val="1"/>
                <w:rtl w:val="0"/>
              </w:rPr>
              <w:t xml:space="preserve">PATRÍCIA DE ALMEIDA OLIVEIRA</w:t>
            </w:r>
          </w:p>
          <w:p w:rsidR="00000000" w:rsidDel="00000000" w:rsidP="00000000" w:rsidRDefault="00000000" w:rsidRPr="00000000" w14:paraId="000000CC">
            <w:pPr>
              <w:spacing w:after="200" w:lineRule="auto"/>
              <w:ind w:hanging="12"/>
              <w:jc w:val="center"/>
              <w:rPr>
                <w:rFonts w:ascii="Arial" w:cs="Arial" w:eastAsia="Arial" w:hAnsi="Arial"/>
                <w:b w:val="1"/>
                <w:bCs w:val="1"/>
              </w:rPr>
            </w:pPr>
            <w:r w:rsidDel="00000000" w:rsidR="00000000" w:rsidRPr="00000000">
              <w:rPr>
                <w:rFonts w:ascii="Arial" w:cs="Arial" w:eastAsia="Arial" w:hAnsi="Arial"/>
                <w:rtl w:val="0"/>
              </w:rPr>
              <w:t xml:space="preserve">OAB/RS 127.669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spacing w:after="200" w:lineRule="auto"/>
              <w:ind w:hanging="12"/>
              <w:jc w:val="center"/>
              <w:rPr>
                <w:rFonts w:ascii="Arial" w:cs="Arial" w:eastAsia="Arial" w:hAnsi="Arial"/>
                <w:b w:val="1"/>
                <w:bCs w:val="1"/>
              </w:rPr>
            </w:pPr>
            <w:r w:rsidDel="00000000" w:rsidR="00000000" w:rsidRPr="00000000">
              <w:rPr>
                <w:rFonts w:ascii="Arial" w:cs="Arial" w:eastAsia="Arial" w:hAnsi="Arial"/>
                <w:b w:val="1"/>
                <w:bCs w:val="1"/>
                <w:rtl w:val="0"/>
              </w:rPr>
              <w:t xml:space="preserve">YAGO FREITAS BLANCO</w:t>
            </w:r>
          </w:p>
          <w:p w:rsidR="00000000" w:rsidDel="00000000" w:rsidP="00000000" w:rsidRDefault="00000000" w:rsidRPr="00000000" w14:paraId="000000CE">
            <w:pPr>
              <w:spacing w:after="200" w:lineRule="auto"/>
              <w:ind w:hanging="12"/>
              <w:jc w:val="center"/>
              <w:rPr>
                <w:rFonts w:ascii="Arial" w:cs="Arial" w:eastAsia="Arial" w:hAnsi="Arial"/>
                <w:b w:val="1"/>
                <w:bCs w:val="1"/>
              </w:rPr>
            </w:pPr>
            <w:r w:rsidDel="00000000" w:rsidR="00000000" w:rsidRPr="00000000">
              <w:rPr>
                <w:rFonts w:ascii="Arial" w:cs="Arial" w:eastAsia="Arial" w:hAnsi="Arial"/>
                <w:rtl w:val="0"/>
              </w:rPr>
              <w:t xml:space="preserve">OAB/RS 137.930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F">
            <w:pPr>
              <w:spacing w:after="200" w:lineRule="auto"/>
              <w:ind w:hanging="12"/>
              <w:jc w:val="center"/>
              <w:rPr>
                <w:rFonts w:ascii="Arial" w:cs="Arial" w:eastAsia="Arial" w:hAnsi="Arial"/>
                <w:b w:val="1"/>
                <w:bCs w:val="1"/>
              </w:rPr>
            </w:pPr>
            <w:r w:rsidDel="00000000" w:rsidR="00000000" w:rsidRPr="00000000">
              <w:rPr>
                <w:rFonts w:ascii="Arial" w:cs="Arial" w:eastAsia="Arial" w:hAnsi="Arial"/>
                <w:b w:val="1"/>
                <w:bCs w:val="1"/>
                <w:rtl w:val="0"/>
              </w:rPr>
              <w:t xml:space="preserve"> GUILHERME HOMMERDING ALT</w:t>
            </w:r>
          </w:p>
          <w:p w:rsidR="00000000" w:rsidDel="00000000" w:rsidP="00000000" w:rsidRDefault="00000000" w:rsidRPr="00000000" w14:paraId="000000D0">
            <w:pPr>
              <w:spacing w:after="200" w:lineRule="auto"/>
              <w:ind w:hanging="12"/>
              <w:jc w:val="center"/>
              <w:rPr>
                <w:rFonts w:ascii="Arial" w:cs="Arial" w:eastAsia="Arial" w:hAnsi="Arial"/>
                <w:b w:val="1"/>
                <w:bCs w:val="1"/>
              </w:rPr>
            </w:pPr>
            <w:r w:rsidDel="00000000" w:rsidR="00000000" w:rsidRPr="00000000">
              <w:rPr>
                <w:rFonts w:ascii="Arial" w:cs="Arial" w:eastAsia="Arial" w:hAnsi="Arial"/>
                <w:rtl w:val="0"/>
              </w:rPr>
              <w:t xml:space="preserve"> OAB/RS 053.288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1">
            <w:pPr>
              <w:spacing w:after="200" w:lineRule="auto"/>
              <w:ind w:hanging="12"/>
              <w:jc w:val="center"/>
              <w:rPr>
                <w:rFonts w:ascii="Arial" w:cs="Arial" w:eastAsia="Arial" w:hAnsi="Arial"/>
                <w:b w:val="1"/>
                <w:bCs w:val="1"/>
              </w:rPr>
            </w:pPr>
            <w:r w:rsidDel="00000000" w:rsidR="00000000" w:rsidRPr="00000000">
              <w:rPr>
                <w:rFonts w:ascii="Arial" w:cs="Arial" w:eastAsia="Arial" w:hAnsi="Arial"/>
                <w:b w:val="1"/>
                <w:bCs w:val="1"/>
                <w:rtl w:val="0"/>
              </w:rPr>
              <w:t xml:space="preserve"> LUIZE LIMA DA ROSA</w:t>
            </w:r>
          </w:p>
          <w:p w:rsidR="00000000" w:rsidDel="00000000" w:rsidP="00000000" w:rsidRDefault="00000000" w:rsidRPr="00000000" w14:paraId="000000D2">
            <w:pPr>
              <w:spacing w:after="200" w:lineRule="auto"/>
              <w:ind w:hanging="12"/>
              <w:jc w:val="center"/>
              <w:rPr>
                <w:rFonts w:ascii="Arial" w:cs="Arial" w:eastAsia="Arial" w:hAnsi="Arial"/>
                <w:b w:val="1"/>
                <w:bCs w:val="1"/>
              </w:rPr>
            </w:pPr>
            <w:r w:rsidDel="00000000" w:rsidR="00000000" w:rsidRPr="00000000">
              <w:rPr>
                <w:rFonts w:ascii="Arial" w:cs="Arial" w:eastAsia="Arial" w:hAnsi="Arial"/>
                <w:rtl w:val="0"/>
              </w:rPr>
              <w:t xml:space="preserve">OAB/RS 104.145</w:t>
            </w:r>
            <w:r w:rsidDel="00000000" w:rsidR="00000000" w:rsidRPr="00000000">
              <w:rPr>
                <w:rtl w:val="0"/>
              </w:rPr>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1"/>
              <w:tabs>
                <w:tab w:val="center" w:leader="none" w:pos="4252"/>
                <w:tab w:val="right" w:leader="none" w:pos="8504"/>
              </w:tabs>
              <w:spacing w:after="200" w:lineRule="auto"/>
              <w:jc w:val="center"/>
              <w:rPr>
                <w:b w:val="1"/>
                <w:bCs w:val="1"/>
              </w:rPr>
            </w:pPr>
            <w:r w:rsidDel="00000000" w:rsidR="00000000" w:rsidRPr="00000000">
              <w:rPr>
                <w:b w:val="1"/>
                <w:bCs w:val="1"/>
                <w:rtl w:val="0"/>
              </w:rPr>
              <w:t xml:space="preserve">JOÃO PEDRO DE OLIVEIRA SIMÕES LOPES GASTAL</w:t>
            </w:r>
          </w:p>
          <w:p w:rsidR="00000000" w:rsidDel="00000000" w:rsidP="00000000" w:rsidRDefault="00000000" w:rsidRPr="00000000" w14:paraId="000000D4">
            <w:pPr>
              <w:widowControl w:val="1"/>
              <w:tabs>
                <w:tab w:val="center" w:leader="none" w:pos="4252"/>
                <w:tab w:val="right" w:leader="none" w:pos="8504"/>
              </w:tabs>
              <w:spacing w:after="200" w:lineRule="auto"/>
              <w:jc w:val="center"/>
              <w:rPr>
                <w:rFonts w:ascii="Arial" w:cs="Arial" w:eastAsia="Arial" w:hAnsi="Arial"/>
                <w:sz w:val="24"/>
                <w:szCs w:val="24"/>
              </w:rPr>
            </w:pPr>
            <w:r w:rsidDel="00000000" w:rsidR="00000000" w:rsidRPr="00000000">
              <w:rPr>
                <w:rtl w:val="0"/>
              </w:rPr>
              <w:t xml:space="preserve">OAB/RS 129.245</w:t>
            </w:r>
            <w:r w:rsidDel="00000000" w:rsidR="00000000" w:rsidRPr="00000000">
              <w:rPr>
                <w:rtl w:val="0"/>
              </w:rPr>
            </w:r>
          </w:p>
        </w:tc>
      </w:tr>
    </w:tbl>
    <w:p w:rsidR="00000000" w:rsidDel="00000000" w:rsidP="00000000" w:rsidRDefault="00000000" w:rsidRPr="00000000" w14:paraId="000000D6">
      <w:pPr>
        <w:widowControl w:val="1"/>
        <w:tabs>
          <w:tab w:val="center" w:leader="none" w:pos="4252"/>
          <w:tab w:val="right" w:leader="none" w:pos="8504"/>
        </w:tabs>
        <w:jc w:val="both"/>
        <w:rPr>
          <w:b w:val="1"/>
          <w:bCs w:val="1"/>
        </w:rPr>
      </w:pPr>
      <w:r w:rsidDel="00000000" w:rsidR="00000000" w:rsidRPr="00000000">
        <w:rPr>
          <w:rtl w:val="0"/>
        </w:rPr>
      </w:r>
    </w:p>
    <w:sectPr>
      <w:headerReference r:id="rId28" w:type="default"/>
      <w:footerReference r:id="rId29" w:type="default"/>
      <w:type w:val="nextPage"/>
      <w:pgSz w:h="16840" w:w="11910" w:orient="portrait"/>
      <w:pgMar w:bottom="1160" w:top="1680" w:left="1275" w:right="992" w:header="0" w:footer="95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-800098</wp:posOffset>
          </wp:positionH>
          <wp:positionV relativeFrom="paragraph">
            <wp:posOffset>0</wp:posOffset>
          </wp:positionV>
          <wp:extent cx="7551039" cy="746053"/>
          <wp:effectExtent b="0" l="0" r="0" t="0"/>
          <wp:wrapNone/>
          <wp:docPr id="2" name="image6.jpg"/>
          <a:graphic>
            <a:graphicData uri="http://schemas.openxmlformats.org/drawingml/2006/picture">
              <pic:pic>
                <pic:nvPicPr>
                  <pic:cNvPr id="0" name="image6.jpg"/>
                  <pic:cNvPicPr preferRelativeResize="0"/>
                </pic:nvPicPr>
                <pic:blipFill>
                  <a:blip r:embed="rId1"/>
                  <a:srcRect b="0" l="0" r="0" t="0"/>
                  <a:stretch>
                    <a:fillRect/>
                  </a:stretch>
                </pic:blipFill>
                <pic:spPr>
                  <a:xfrm>
                    <a:off x="0" y="0"/>
                    <a:ext cx="7551039" cy="746053"/>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-800098</wp:posOffset>
          </wp:positionH>
          <wp:positionV relativeFrom="paragraph">
            <wp:posOffset>0</wp:posOffset>
          </wp:positionV>
          <wp:extent cx="7551039" cy="746053"/>
          <wp:effectExtent b="0" l="0" r="0" t="0"/>
          <wp:wrapNone/>
          <wp:docPr id="8" name="image6.jpg"/>
          <a:graphic>
            <a:graphicData uri="http://schemas.openxmlformats.org/drawingml/2006/picture">
              <pic:pic>
                <pic:nvPicPr>
                  <pic:cNvPr id="0" name="image6.jpg"/>
                  <pic:cNvPicPr preferRelativeResize="0"/>
                </pic:nvPicPr>
                <pic:blipFill>
                  <a:blip r:embed="rId1"/>
                  <a:srcRect b="0" l="0" r="0" t="0"/>
                  <a:stretch>
                    <a:fillRect/>
                  </a:stretch>
                </pic:blipFill>
                <pic:spPr>
                  <a:xfrm>
                    <a:off x="0" y="0"/>
                    <a:ext cx="7551039" cy="74605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w:drawing>
        <wp:anchor allowOverlap="1" behindDoc="1" distB="0" distT="0" distL="0" distR="0" hidden="0" layoutInCell="1" locked="0" relativeHeight="0" simplePos="0">
          <wp:simplePos x="0" y="0"/>
          <wp:positionH relativeFrom="page">
            <wp:posOffset>34288</wp:posOffset>
          </wp:positionH>
          <wp:positionV relativeFrom="page">
            <wp:posOffset>0</wp:posOffset>
          </wp:positionV>
          <wp:extent cx="7526274" cy="1077583"/>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26274" cy="1077583"/>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w:drawing>
        <wp:anchor allowOverlap="1" behindDoc="1" distB="0" distT="0" distL="0" distR="0" hidden="0" layoutInCell="1" locked="0" relativeHeight="0" simplePos="0">
          <wp:simplePos x="0" y="0"/>
          <wp:positionH relativeFrom="page">
            <wp:posOffset>34288</wp:posOffset>
          </wp:positionH>
          <wp:positionV relativeFrom="page">
            <wp:posOffset>0</wp:posOffset>
          </wp:positionV>
          <wp:extent cx="7526274" cy="1077583"/>
          <wp:effectExtent b="0" l="0" r="0" t="0"/>
          <wp:wrapNone/>
          <wp:docPr id="9"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26274" cy="107758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27" w:hanging="173.99999999999994"/>
      </w:pPr>
      <w:rPr>
        <w:rFonts w:ascii="Calibri" w:cs="Calibri" w:eastAsia="Calibri" w:hAnsi="Calibri"/>
        <w:b w:val="0"/>
        <w:bCs w:val="0"/>
        <w:i w:val="0"/>
        <w:iCs w:val="0"/>
        <w:sz w:val="24"/>
        <w:szCs w:val="24"/>
      </w:rPr>
    </w:lvl>
    <w:lvl w:ilvl="1">
      <w:start w:val="0"/>
      <w:numFmt w:val="bullet"/>
      <w:lvlText w:val="•"/>
      <w:lvlJc w:val="left"/>
      <w:pPr>
        <w:ind w:left="1341" w:hanging="175"/>
      </w:pPr>
      <w:rPr/>
    </w:lvl>
    <w:lvl w:ilvl="2">
      <w:start w:val="0"/>
      <w:numFmt w:val="bullet"/>
      <w:lvlText w:val="•"/>
      <w:lvlJc w:val="left"/>
      <w:pPr>
        <w:ind w:left="2263" w:hanging="175"/>
      </w:pPr>
      <w:rPr/>
    </w:lvl>
    <w:lvl w:ilvl="3">
      <w:start w:val="0"/>
      <w:numFmt w:val="bullet"/>
      <w:lvlText w:val="•"/>
      <w:lvlJc w:val="left"/>
      <w:pPr>
        <w:ind w:left="3185" w:hanging="175"/>
      </w:pPr>
      <w:rPr/>
    </w:lvl>
    <w:lvl w:ilvl="4">
      <w:start w:val="0"/>
      <w:numFmt w:val="bullet"/>
      <w:lvlText w:val="•"/>
      <w:lvlJc w:val="left"/>
      <w:pPr>
        <w:ind w:left="4107" w:hanging="175"/>
      </w:pPr>
      <w:rPr/>
    </w:lvl>
    <w:lvl w:ilvl="5">
      <w:start w:val="0"/>
      <w:numFmt w:val="bullet"/>
      <w:lvlText w:val="•"/>
      <w:lvlJc w:val="left"/>
      <w:pPr>
        <w:ind w:left="5029" w:hanging="175"/>
      </w:pPr>
      <w:rPr/>
    </w:lvl>
    <w:lvl w:ilvl="6">
      <w:start w:val="0"/>
      <w:numFmt w:val="bullet"/>
      <w:lvlText w:val="•"/>
      <w:lvlJc w:val="left"/>
      <w:pPr>
        <w:ind w:left="5951" w:hanging="175"/>
      </w:pPr>
      <w:rPr/>
    </w:lvl>
    <w:lvl w:ilvl="7">
      <w:start w:val="0"/>
      <w:numFmt w:val="bullet"/>
      <w:lvlText w:val="•"/>
      <w:lvlJc w:val="left"/>
      <w:pPr>
        <w:ind w:left="6873" w:hanging="175"/>
      </w:pPr>
      <w:rPr/>
    </w:lvl>
    <w:lvl w:ilvl="8">
      <w:start w:val="0"/>
      <w:numFmt w:val="bullet"/>
      <w:lvlText w:val="•"/>
      <w:lvlJc w:val="left"/>
      <w:pPr>
        <w:ind w:left="7795" w:hanging="175"/>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27"/>
    </w:pPr>
    <w:rPr>
      <w:b w:val="1"/>
      <w:bCs w:val="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proc.jfrs.jus.br/eprocV2/controlador.php?acao=exibir_documento_evento&amp;StrNumProcesso=50082557020254047101&amp;is2g=false&amp;strSigUfProcesso=RS&amp;iddocumento=711766060391411359365510467063&amp;page=1&amp;hash=ea44134faae38ccfcb030aa89661502e" TargetMode="External"/><Relationship Id="rId22" Type="http://schemas.openxmlformats.org/officeDocument/2006/relationships/image" Target="media/image5.png"/><Relationship Id="rId21" Type="http://schemas.openxmlformats.org/officeDocument/2006/relationships/hyperlink" Target="https://eproc.jfrs.jus.br/eprocV2/controlador.php?acao=exibir_documento_evento&amp;StrNumProcesso=50082557020254047101&amp;is2g=false&amp;strSigUfProcesso=RS&amp;iddocumento=711770731263586060636267566225&amp;page=1&amp;hash=213a3176df4c2538bf05cf71f05d35e5" TargetMode="External"/><Relationship Id="rId24" Type="http://schemas.openxmlformats.org/officeDocument/2006/relationships/image" Target="media/image3.png"/><Relationship Id="rId23" Type="http://schemas.openxmlformats.org/officeDocument/2006/relationships/hyperlink" Target="https://globoplay.globo.com/v/145503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lanalto.gov.br/ccivil_03/_Ato2015-2018/2015/Decreto/D8424.htm#art2a" TargetMode="External"/><Relationship Id="rId26" Type="http://schemas.openxmlformats.org/officeDocument/2006/relationships/image" Target="media/image4.png"/><Relationship Id="rId25" Type="http://schemas.openxmlformats.org/officeDocument/2006/relationships/image" Target="media/image7.png"/><Relationship Id="rId28" Type="http://schemas.openxmlformats.org/officeDocument/2006/relationships/header" Target="header2.xml"/><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footer" Target="footer2.xml"/><Relationship Id="rId7" Type="http://schemas.openxmlformats.org/officeDocument/2006/relationships/footer" Target="footer1.xml"/><Relationship Id="rId8" Type="http://schemas.openxmlformats.org/officeDocument/2006/relationships/hyperlink" Target="https://www.planalto.gov.br/ccivil_03/_Ato2015-2018/2015/Decreto/D8424.htm#art2a" TargetMode="External"/><Relationship Id="rId11" Type="http://schemas.openxmlformats.org/officeDocument/2006/relationships/hyperlink" Target="https://www.planalto.gov.br/ccivil_03/LEIS/2003/L10.779.htm#art1%C2%A79" TargetMode="External"/><Relationship Id="rId10" Type="http://schemas.openxmlformats.org/officeDocument/2006/relationships/hyperlink" Target="https://www.planalto.gov.br/ccivil_03/_Ato2015-2018/2015/Decreto/D8424.htm#art3%C2%A71" TargetMode="External"/><Relationship Id="rId13" Type="http://schemas.openxmlformats.org/officeDocument/2006/relationships/hyperlink" Target="https://www.planalto.gov.br/ccivil_03/LEIS/LCP/Lcp199.htm#art2p" TargetMode="External"/><Relationship Id="rId12" Type="http://schemas.openxmlformats.org/officeDocument/2006/relationships/hyperlink" Target="https://www.planalto.gov.br/ccivil_03/LEIS/2003/L10.779.htm#art1%C2%A79" TargetMode="External"/><Relationship Id="rId15" Type="http://schemas.openxmlformats.org/officeDocument/2006/relationships/hyperlink" Target="https://eproc.jfrs.jus.br/eprocV2/controlador.php?acao=exibir_documento_evento&amp;StrNumProcesso=50082557020254047101&amp;is2g=false&amp;strSigUfProcesso=RS&amp;iddocumento=711766060391411359365510436294&amp;page=1&amp;hash=80fd25f82229ff9f5ce5828ffe5e2169" TargetMode="External"/><Relationship Id="rId14" Type="http://schemas.openxmlformats.org/officeDocument/2006/relationships/hyperlink" Target="https://www.planalto.gov.br/ccivil_03/LEIS/LCP/Lcp199.htm#art2p" TargetMode="External"/><Relationship Id="rId17" Type="http://schemas.openxmlformats.org/officeDocument/2006/relationships/hyperlink" Target="https://www.gov.br/trabalho-e-emprego/pt-br/noticias-e-conteudo/2025/novembro/MEDIDAPROVISRIAN1.323DE4DENOVEMBRODE2025MEDIDAPROVISRIAN1.323DE4DENOVEMBRODE2025DOUImprensaNacional.pdf" TargetMode="External"/><Relationship Id="rId16" Type="http://schemas.openxmlformats.org/officeDocument/2006/relationships/hyperlink" Target="https://www.gov.br/trabalho-e-emprego/pt-br/noticias-e-conteudo/2025/novembro/MEDIDAPROVISRIAN1.323DE4DENOVEMBRODE2025MEDIDAPROVISRIAN1.323DE4DENOVEMBRODE2025DOUImprensaNacional.pdf" TargetMode="External"/><Relationship Id="rId19" Type="http://schemas.openxmlformats.org/officeDocument/2006/relationships/hyperlink" Target="http://www.planalto.gov.br/ccivil_03/leis/2003/l10.779.htm" TargetMode="External"/><Relationship Id="rId18" Type="http://schemas.openxmlformats.org/officeDocument/2006/relationships/hyperlink" Target="https://eproc.jfrs.jus.br/eprocV2/controlador.php?acao=exibir_documento_evento&amp;StrNumProcesso=50082557020254047101&amp;is2g=false&amp;strSigUfProcesso=RS&amp;iddocumento=711766060391411359365510467063&amp;page=1&amp;hash=ea44134faae38ccfcb030aa89661502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footer2.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2025-07-29T00:00:00Z</vt:lpwstr>
  </property>
  <property fmtid="{D5CDD505-2E9C-101B-9397-08002B2CF9AE}" pid="3" name="Creator">
    <vt:lpwstr>Microsoft® Word para Microsoft 365</vt:lpwstr>
  </property>
  <property fmtid="{D5CDD505-2E9C-101B-9397-08002B2CF9AE}" pid="4" name="LastSaved">
    <vt:lpwstr>2025-10-28T00:00:00Z</vt:lpwstr>
  </property>
  <property fmtid="{D5CDD505-2E9C-101B-9397-08002B2CF9AE}" pid="5" name="Producer">
    <vt:lpwstr>Microsoft® Word para Microsoft 365</vt:lpwstr>
  </property>
</Properties>
</file>